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E5B" w:rsidRPr="002D6C4B" w:rsidRDefault="00CF7E5B" w:rsidP="00CF7E5B">
      <w:pPr>
        <w:spacing w:line="240" w:lineRule="auto"/>
        <w:jc w:val="right"/>
        <w:rPr>
          <w:rFonts w:ascii="Arial" w:hAnsi="Arial" w:cs="Arial"/>
          <w:b/>
          <w:sz w:val="20"/>
          <w:szCs w:val="20"/>
          <w:u w:val="single"/>
        </w:rPr>
      </w:pPr>
      <w:r w:rsidRPr="002D6C4B">
        <w:rPr>
          <w:rFonts w:ascii="Arial" w:hAnsi="Arial" w:cs="Arial"/>
          <w:b/>
          <w:sz w:val="20"/>
          <w:szCs w:val="20"/>
          <w:u w:val="single"/>
        </w:rPr>
        <w:t>ORDENANZA N° 50 – HCDPF - 2019</w:t>
      </w:r>
    </w:p>
    <w:p w:rsidR="00CF7E5B" w:rsidRPr="002D6C4B" w:rsidRDefault="00CF7E5B" w:rsidP="00CF7E5B">
      <w:pPr>
        <w:spacing w:line="240" w:lineRule="auto"/>
        <w:jc w:val="right"/>
        <w:rPr>
          <w:rFonts w:ascii="Arial" w:hAnsi="Arial" w:cs="Arial"/>
          <w:color w:val="000000"/>
          <w:sz w:val="20"/>
          <w:szCs w:val="20"/>
        </w:rPr>
      </w:pPr>
      <w:r w:rsidRPr="002D6C4B">
        <w:rPr>
          <w:rFonts w:ascii="Arial" w:hAnsi="Arial" w:cs="Arial"/>
          <w:color w:val="000000"/>
          <w:sz w:val="20"/>
          <w:szCs w:val="20"/>
        </w:rPr>
        <w:t xml:space="preserve">Potrero de los </w:t>
      </w:r>
      <w:proofErr w:type="spellStart"/>
      <w:r w:rsidRPr="002D6C4B">
        <w:rPr>
          <w:rFonts w:ascii="Arial" w:hAnsi="Arial" w:cs="Arial"/>
          <w:color w:val="000000"/>
          <w:sz w:val="20"/>
          <w:szCs w:val="20"/>
        </w:rPr>
        <w:t>Funes</w:t>
      </w:r>
      <w:proofErr w:type="spellEnd"/>
      <w:r w:rsidRPr="002D6C4B">
        <w:rPr>
          <w:rFonts w:ascii="Arial" w:hAnsi="Arial" w:cs="Arial"/>
          <w:color w:val="000000"/>
          <w:sz w:val="20"/>
          <w:szCs w:val="20"/>
        </w:rPr>
        <w:t xml:space="preserve">, </w:t>
      </w:r>
      <w:r w:rsidRPr="002D6C4B">
        <w:rPr>
          <w:rFonts w:ascii="Arial" w:hAnsi="Arial" w:cs="Arial"/>
          <w:sz w:val="20"/>
          <w:szCs w:val="20"/>
        </w:rPr>
        <w:t>6 de Noviembre</w:t>
      </w:r>
      <w:r w:rsidRPr="002D6C4B">
        <w:rPr>
          <w:rFonts w:ascii="Arial" w:hAnsi="Arial" w:cs="Arial"/>
          <w:color w:val="000000"/>
          <w:sz w:val="20"/>
          <w:szCs w:val="20"/>
        </w:rPr>
        <w:t xml:space="preserve"> de 2019</w:t>
      </w:r>
    </w:p>
    <w:p w:rsidR="00CF7E5B" w:rsidRPr="002D6C4B" w:rsidRDefault="00CF7E5B" w:rsidP="00CF7E5B">
      <w:pPr>
        <w:spacing w:line="240" w:lineRule="auto"/>
        <w:jc w:val="center"/>
        <w:rPr>
          <w:rFonts w:ascii="Arial" w:hAnsi="Arial" w:cs="Arial"/>
          <w:b/>
          <w:color w:val="000000"/>
          <w:sz w:val="20"/>
          <w:szCs w:val="20"/>
          <w:u w:val="single"/>
        </w:rPr>
      </w:pPr>
      <w:r w:rsidRPr="002D6C4B">
        <w:rPr>
          <w:rFonts w:ascii="Arial" w:hAnsi="Arial" w:cs="Arial"/>
          <w:b/>
          <w:color w:val="000000"/>
          <w:sz w:val="20"/>
          <w:szCs w:val="20"/>
          <w:u w:val="single"/>
        </w:rPr>
        <w:t>PRESUPUESTO AÑO 2020</w:t>
      </w:r>
    </w:p>
    <w:p w:rsidR="00CF7E5B" w:rsidRPr="002D6C4B" w:rsidRDefault="00CF7E5B" w:rsidP="00CF7E5B">
      <w:pPr>
        <w:spacing w:line="240" w:lineRule="auto"/>
        <w:jc w:val="both"/>
        <w:rPr>
          <w:rFonts w:ascii="Arial" w:hAnsi="Arial" w:cs="Arial"/>
          <w:b/>
          <w:color w:val="000000"/>
          <w:sz w:val="20"/>
          <w:szCs w:val="20"/>
        </w:rPr>
      </w:pPr>
      <w:r w:rsidRPr="002D6C4B">
        <w:rPr>
          <w:rFonts w:ascii="Arial" w:hAnsi="Arial" w:cs="Arial"/>
          <w:b/>
          <w:color w:val="000000"/>
          <w:sz w:val="20"/>
          <w:szCs w:val="20"/>
        </w:rPr>
        <w:t>VISTO:</w:t>
      </w:r>
    </w:p>
    <w:p w:rsidR="00CF7E5B" w:rsidRPr="002D6C4B" w:rsidRDefault="00CF7E5B" w:rsidP="00CF7E5B">
      <w:pPr>
        <w:spacing w:line="240" w:lineRule="auto"/>
        <w:jc w:val="both"/>
        <w:rPr>
          <w:rFonts w:ascii="Arial" w:hAnsi="Arial" w:cs="Arial"/>
          <w:b/>
          <w:color w:val="000000"/>
          <w:sz w:val="20"/>
          <w:szCs w:val="20"/>
        </w:rPr>
      </w:pPr>
      <w:r w:rsidRPr="002D6C4B">
        <w:rPr>
          <w:rFonts w:ascii="Arial" w:hAnsi="Arial" w:cs="Arial"/>
          <w:b/>
          <w:color w:val="000000"/>
          <w:sz w:val="20"/>
          <w:szCs w:val="20"/>
        </w:rPr>
        <w:t xml:space="preserve">                                      </w:t>
      </w:r>
      <w:r w:rsidRPr="002D6C4B">
        <w:rPr>
          <w:rFonts w:ascii="Arial" w:hAnsi="Arial" w:cs="Arial"/>
          <w:color w:val="000000"/>
          <w:sz w:val="20"/>
          <w:szCs w:val="20"/>
        </w:rPr>
        <w:t xml:space="preserve">La necesidad de dictar la Ordenanza de Presupuesto General de Gastos y Cálculo de Recursos de la Administración Municipal de Potrero de los </w:t>
      </w:r>
      <w:proofErr w:type="spellStart"/>
      <w:r w:rsidRPr="002D6C4B">
        <w:rPr>
          <w:rFonts w:ascii="Arial" w:hAnsi="Arial" w:cs="Arial"/>
          <w:color w:val="000000"/>
          <w:sz w:val="20"/>
          <w:szCs w:val="20"/>
        </w:rPr>
        <w:t>Funes</w:t>
      </w:r>
      <w:proofErr w:type="spellEnd"/>
      <w:r w:rsidRPr="002D6C4B">
        <w:rPr>
          <w:rFonts w:ascii="Arial" w:hAnsi="Arial" w:cs="Arial"/>
          <w:color w:val="000000"/>
          <w:sz w:val="20"/>
          <w:szCs w:val="20"/>
        </w:rPr>
        <w:t xml:space="preserve"> para el período comprendido entre el 1° de Enero y el 31 de Diciembre del año 2020, y;</w:t>
      </w:r>
    </w:p>
    <w:p w:rsidR="00CF7E5B" w:rsidRPr="002D6C4B" w:rsidRDefault="00CF7E5B" w:rsidP="00CF7E5B">
      <w:pPr>
        <w:spacing w:line="240" w:lineRule="auto"/>
        <w:jc w:val="both"/>
        <w:rPr>
          <w:rFonts w:ascii="Arial" w:hAnsi="Arial" w:cs="Arial"/>
          <w:b/>
          <w:color w:val="000000"/>
          <w:sz w:val="20"/>
          <w:szCs w:val="20"/>
        </w:rPr>
      </w:pPr>
      <w:r w:rsidRPr="002D6C4B">
        <w:rPr>
          <w:rFonts w:ascii="Arial" w:hAnsi="Arial" w:cs="Arial"/>
          <w:b/>
          <w:color w:val="000000"/>
          <w:sz w:val="20"/>
          <w:szCs w:val="20"/>
        </w:rPr>
        <w:t>CONSIDERANDO:</w:t>
      </w:r>
    </w:p>
    <w:p w:rsidR="00CF7E5B" w:rsidRPr="002D6C4B" w:rsidRDefault="00CF7E5B" w:rsidP="00CF7E5B">
      <w:pPr>
        <w:spacing w:line="240" w:lineRule="auto"/>
        <w:ind w:firstLine="2268"/>
        <w:jc w:val="both"/>
        <w:rPr>
          <w:rFonts w:ascii="Arial" w:hAnsi="Arial" w:cs="Arial"/>
          <w:color w:val="000000"/>
          <w:sz w:val="20"/>
          <w:szCs w:val="20"/>
        </w:rPr>
      </w:pPr>
      <w:r w:rsidRPr="002D6C4B">
        <w:rPr>
          <w:rFonts w:ascii="Arial" w:hAnsi="Arial" w:cs="Arial"/>
          <w:color w:val="000000"/>
          <w:sz w:val="20"/>
          <w:szCs w:val="20"/>
        </w:rPr>
        <w:t>Que el presupuesto es una herramienta básica de planificación anual de carácter operativo, a través de la cual se materializa en el corto plazo el cumplimiento de las políticas de desarrollo de la gestión.</w:t>
      </w:r>
    </w:p>
    <w:p w:rsidR="00CF7E5B" w:rsidRPr="002D6C4B" w:rsidRDefault="00CF7E5B" w:rsidP="00CF7E5B">
      <w:pPr>
        <w:spacing w:line="240" w:lineRule="auto"/>
        <w:ind w:firstLine="2268"/>
        <w:jc w:val="both"/>
        <w:rPr>
          <w:rFonts w:ascii="Arial" w:hAnsi="Arial" w:cs="Arial"/>
          <w:color w:val="000000"/>
          <w:sz w:val="20"/>
          <w:szCs w:val="20"/>
        </w:rPr>
      </w:pPr>
      <w:r w:rsidRPr="002D6C4B">
        <w:rPr>
          <w:rFonts w:ascii="Arial" w:hAnsi="Arial" w:cs="Arial"/>
          <w:color w:val="000000"/>
          <w:sz w:val="20"/>
          <w:szCs w:val="20"/>
        </w:rPr>
        <w:t xml:space="preserve">Que es el medio a través del cual, se define el nivel de producción e inversión pública, que permite el control de los gastos de funcionamiento que se traducen en un aumento de inversiones en bienes de capital.  </w:t>
      </w:r>
    </w:p>
    <w:p w:rsidR="00CF7E5B" w:rsidRPr="002D6C4B" w:rsidRDefault="00CF7E5B" w:rsidP="00CF7E5B">
      <w:pPr>
        <w:spacing w:line="240" w:lineRule="auto"/>
        <w:ind w:firstLine="2268"/>
        <w:jc w:val="both"/>
        <w:rPr>
          <w:rFonts w:ascii="Arial" w:hAnsi="Arial" w:cs="Arial"/>
          <w:color w:val="000000"/>
          <w:sz w:val="20"/>
          <w:szCs w:val="20"/>
        </w:rPr>
      </w:pPr>
      <w:r w:rsidRPr="002D6C4B">
        <w:rPr>
          <w:rFonts w:ascii="Arial" w:hAnsi="Arial" w:cs="Arial"/>
          <w:color w:val="000000"/>
          <w:sz w:val="20"/>
          <w:szCs w:val="20"/>
        </w:rPr>
        <w:t xml:space="preserve">Que la Municipalidad es la Institución Pública, más cercana a la Comunidad y como tal debe contar con el presupuesto como herramienta de administración, que le permita satisfacer las necesidades y demandas de su población disminuyendo las acciones improvisadas. </w:t>
      </w:r>
    </w:p>
    <w:p w:rsidR="00CF7E5B" w:rsidRPr="002D6C4B" w:rsidRDefault="00CF7E5B" w:rsidP="00CF7E5B">
      <w:pPr>
        <w:spacing w:line="240" w:lineRule="auto"/>
        <w:ind w:firstLine="2268"/>
        <w:jc w:val="both"/>
        <w:rPr>
          <w:rFonts w:ascii="Arial" w:hAnsi="Arial" w:cs="Arial"/>
          <w:color w:val="000000"/>
          <w:sz w:val="20"/>
          <w:szCs w:val="20"/>
        </w:rPr>
      </w:pPr>
      <w:r w:rsidRPr="002D6C4B">
        <w:rPr>
          <w:rFonts w:ascii="Arial" w:hAnsi="Arial" w:cs="Arial"/>
          <w:color w:val="000000"/>
          <w:sz w:val="20"/>
          <w:szCs w:val="20"/>
        </w:rPr>
        <w:t xml:space="preserve">Que la técnica de Presupuesto por Programa es la más adecuada para demostrar el cumplimiento de las políticas, planes de acción y producción de bienes y servicios de los Organismos Municipales, porque no solo se determinan las partidas para cada programa presupuestario sino que se determinan las metas físicas a alcanzar por cada uno de esos programas y las unidades de medida que permiten evaluar la eficiencia en la utilización de los recursos con respecto los objetivos propuestos. </w:t>
      </w:r>
    </w:p>
    <w:p w:rsidR="00CF7E5B" w:rsidRPr="002D6C4B" w:rsidRDefault="00CF7E5B" w:rsidP="00CF7E5B">
      <w:pPr>
        <w:spacing w:line="240" w:lineRule="auto"/>
        <w:ind w:firstLine="2268"/>
        <w:jc w:val="both"/>
        <w:rPr>
          <w:rFonts w:ascii="Arial" w:hAnsi="Arial" w:cs="Arial"/>
          <w:color w:val="000000"/>
          <w:sz w:val="20"/>
          <w:szCs w:val="20"/>
        </w:rPr>
      </w:pPr>
      <w:r w:rsidRPr="002D6C4B">
        <w:rPr>
          <w:rFonts w:ascii="Arial" w:hAnsi="Arial" w:cs="Arial"/>
          <w:color w:val="000000"/>
          <w:sz w:val="20"/>
          <w:szCs w:val="20"/>
        </w:rPr>
        <w:t>Que asimismo, la técnica de presupuesto por programas, la limitación en los gastos corrientes y el fuerte compromiso en inversiones de capital, son un mecanismo que ha utilizado el Gobierno de la Provincia desde hace muchos años obteniendo resultados sumamente exitosos.</w:t>
      </w:r>
    </w:p>
    <w:p w:rsidR="00CF7E5B" w:rsidRPr="002D6C4B" w:rsidRDefault="00CF7E5B" w:rsidP="00CF7E5B">
      <w:pPr>
        <w:spacing w:line="240" w:lineRule="auto"/>
        <w:ind w:firstLine="2268"/>
        <w:jc w:val="both"/>
        <w:rPr>
          <w:rFonts w:ascii="Arial" w:hAnsi="Arial" w:cs="Arial"/>
          <w:color w:val="000000"/>
          <w:sz w:val="20"/>
          <w:szCs w:val="20"/>
        </w:rPr>
      </w:pPr>
      <w:r w:rsidRPr="002D6C4B">
        <w:rPr>
          <w:rFonts w:ascii="Arial" w:hAnsi="Arial" w:cs="Arial"/>
          <w:color w:val="000000"/>
          <w:sz w:val="20"/>
          <w:szCs w:val="20"/>
        </w:rPr>
        <w:t>Que el presupuesto permite informar a la Comunidad, no solo cuánto se gasta sino también permite identificar el destino de los recursos, especialmente lo aportado por cada vecino, en concepto de tasas como de los demás recursos tanto de origen provincial como nacional;</w:t>
      </w:r>
    </w:p>
    <w:p w:rsidR="00CF7E5B" w:rsidRPr="002D6C4B" w:rsidRDefault="00CF7E5B" w:rsidP="00CF7E5B">
      <w:pPr>
        <w:spacing w:line="240" w:lineRule="auto"/>
        <w:ind w:firstLine="2268"/>
        <w:jc w:val="both"/>
        <w:rPr>
          <w:rFonts w:ascii="Arial" w:hAnsi="Arial" w:cs="Arial"/>
          <w:color w:val="000000"/>
          <w:sz w:val="20"/>
          <w:szCs w:val="20"/>
        </w:rPr>
      </w:pPr>
      <w:r w:rsidRPr="002D6C4B">
        <w:rPr>
          <w:rFonts w:ascii="Arial" w:hAnsi="Arial" w:cs="Arial"/>
          <w:color w:val="000000"/>
          <w:sz w:val="20"/>
          <w:szCs w:val="20"/>
        </w:rPr>
        <w:t>Que es objetivo de la Municipalidad lograr una gestión eficiente en el uso de los recursos municipales, dar transparencia a las acciones de gobierno, cumplir con la normativa vigente en todos los aspectos y particularmente en lo administrativo, contable y presupuestario, planificar tanto los ingresos como gastos e inversiones, lograr el crecimiento del pueblo en lo social, en la infraestructura, en lo económico y cultural, ente otros;</w:t>
      </w:r>
    </w:p>
    <w:p w:rsidR="00CF7E5B" w:rsidRPr="002D6C4B" w:rsidRDefault="00CF7E5B" w:rsidP="00CF7E5B">
      <w:pPr>
        <w:spacing w:line="240" w:lineRule="auto"/>
        <w:ind w:firstLine="2268"/>
        <w:jc w:val="both"/>
        <w:rPr>
          <w:rFonts w:ascii="Arial" w:hAnsi="Arial" w:cs="Arial"/>
          <w:color w:val="000000"/>
          <w:sz w:val="20"/>
          <w:szCs w:val="20"/>
        </w:rPr>
      </w:pPr>
      <w:r w:rsidRPr="002D6C4B">
        <w:rPr>
          <w:rFonts w:ascii="Arial" w:hAnsi="Arial" w:cs="Arial"/>
          <w:color w:val="000000"/>
          <w:sz w:val="20"/>
          <w:szCs w:val="20"/>
        </w:rPr>
        <w:t>Que una herramienta fundamental para el logro de los objetivos propuestos es la confección del presupuesto municipal para el año entrante no solo como una exigencia legal sino como un elemento ordenador de la economía municipal, planificador del gasto y gestor del equilibrio financiero;</w:t>
      </w:r>
    </w:p>
    <w:p w:rsidR="00CF7E5B" w:rsidRPr="002D6C4B" w:rsidRDefault="00CF7E5B" w:rsidP="00CF7E5B">
      <w:pPr>
        <w:spacing w:line="240" w:lineRule="auto"/>
        <w:ind w:firstLine="2268"/>
        <w:jc w:val="both"/>
        <w:rPr>
          <w:rFonts w:ascii="Arial" w:hAnsi="Arial" w:cs="Arial"/>
          <w:color w:val="000000"/>
          <w:sz w:val="20"/>
          <w:szCs w:val="20"/>
        </w:rPr>
      </w:pPr>
      <w:r w:rsidRPr="002D6C4B">
        <w:rPr>
          <w:rFonts w:ascii="Arial" w:hAnsi="Arial" w:cs="Arial"/>
          <w:color w:val="000000"/>
          <w:sz w:val="20"/>
          <w:szCs w:val="20"/>
        </w:rPr>
        <w:t>Que el inciso 4 del artículo 20° de la Ley XII-0349-2004 establece como obligación del Intendente Municipal presentar al Concejo Deliberante antes del 30 de Setiembre de cada año el Proyecto de Presupuesto de Gastos y Cálculo de Recursos, confeccionado con la Técnica de Presupuesto por Programa;</w:t>
      </w:r>
    </w:p>
    <w:p w:rsidR="00CF7E5B" w:rsidRPr="002D6C4B" w:rsidRDefault="00CF7E5B" w:rsidP="00CF7E5B">
      <w:pPr>
        <w:spacing w:line="240" w:lineRule="auto"/>
        <w:ind w:firstLine="2268"/>
        <w:jc w:val="both"/>
        <w:rPr>
          <w:rFonts w:ascii="Arial" w:hAnsi="Arial" w:cs="Arial"/>
          <w:color w:val="000000"/>
          <w:sz w:val="20"/>
          <w:szCs w:val="20"/>
        </w:rPr>
      </w:pPr>
      <w:r w:rsidRPr="002D6C4B">
        <w:rPr>
          <w:rFonts w:ascii="Arial" w:hAnsi="Arial" w:cs="Arial"/>
          <w:color w:val="000000"/>
          <w:sz w:val="20"/>
          <w:szCs w:val="20"/>
        </w:rPr>
        <w:t>Que el inciso 19 del artículo 258 de la Carta Magna Provincial y el artículo 18° de la Ley XII-0349-2004 de Régimen Municipal determinan que son deberes y atribuciones del Concejo Deliberante tratar la ordenanza de presupuesto anual.</w:t>
      </w:r>
    </w:p>
    <w:p w:rsidR="00CF7E5B" w:rsidRPr="002D6C4B" w:rsidRDefault="00CF7E5B" w:rsidP="00CF7E5B">
      <w:pPr>
        <w:spacing w:line="240" w:lineRule="auto"/>
        <w:ind w:firstLine="2268"/>
        <w:jc w:val="both"/>
        <w:rPr>
          <w:rFonts w:ascii="Arial" w:hAnsi="Arial" w:cs="Arial"/>
          <w:color w:val="000000"/>
          <w:sz w:val="20"/>
          <w:szCs w:val="20"/>
        </w:rPr>
      </w:pPr>
      <w:r w:rsidRPr="002D6C4B">
        <w:rPr>
          <w:rFonts w:ascii="Arial" w:hAnsi="Arial" w:cs="Arial"/>
          <w:color w:val="000000"/>
          <w:sz w:val="20"/>
          <w:szCs w:val="20"/>
        </w:rPr>
        <w:t xml:space="preserve">Por ello, </w:t>
      </w:r>
    </w:p>
    <w:p w:rsidR="00CF7E5B" w:rsidRPr="002D6C4B" w:rsidRDefault="00CF7E5B" w:rsidP="00CF7E5B">
      <w:pPr>
        <w:spacing w:line="240" w:lineRule="auto"/>
        <w:jc w:val="center"/>
        <w:rPr>
          <w:rFonts w:ascii="Arial" w:hAnsi="Arial" w:cs="Arial"/>
          <w:b/>
          <w:i/>
          <w:shadow/>
          <w:color w:val="000000"/>
          <w:sz w:val="20"/>
          <w:szCs w:val="20"/>
        </w:rPr>
      </w:pPr>
      <w:r w:rsidRPr="002D6C4B">
        <w:rPr>
          <w:rFonts w:ascii="Arial" w:hAnsi="Arial" w:cs="Arial"/>
          <w:b/>
          <w:color w:val="000000"/>
          <w:sz w:val="20"/>
          <w:szCs w:val="20"/>
        </w:rPr>
        <w:lastRenderedPageBreak/>
        <w:t>EL HONORABLE CONCEJO DELIBERANTE  DE LA MUNICIPALIDAD DE POTRERO DE LOS FUNES SANCIONA CON FUERZA DE:</w:t>
      </w:r>
    </w:p>
    <w:p w:rsidR="00CF7E5B" w:rsidRPr="002D6C4B" w:rsidRDefault="00CF7E5B" w:rsidP="00CF7E5B">
      <w:pPr>
        <w:spacing w:line="240" w:lineRule="auto"/>
        <w:jc w:val="center"/>
        <w:rPr>
          <w:rFonts w:ascii="Arial" w:hAnsi="Arial" w:cs="Arial"/>
          <w:b/>
          <w:i/>
          <w:shadow/>
          <w:color w:val="000000"/>
          <w:sz w:val="20"/>
          <w:szCs w:val="20"/>
        </w:rPr>
      </w:pPr>
      <w:r w:rsidRPr="002D6C4B">
        <w:rPr>
          <w:rFonts w:ascii="Arial" w:hAnsi="Arial" w:cs="Arial"/>
          <w:b/>
          <w:color w:val="000000"/>
          <w:sz w:val="20"/>
          <w:szCs w:val="20"/>
        </w:rPr>
        <w:t>ORDENANZA</w:t>
      </w:r>
    </w:p>
    <w:p w:rsidR="00CF7E5B" w:rsidRPr="002D6C4B" w:rsidRDefault="00CF7E5B" w:rsidP="00CF7E5B">
      <w:pPr>
        <w:spacing w:line="240" w:lineRule="auto"/>
        <w:ind w:left="1276" w:hanging="1276"/>
        <w:jc w:val="both"/>
        <w:rPr>
          <w:rFonts w:ascii="Arial" w:hAnsi="Arial" w:cs="Arial"/>
          <w:color w:val="000000"/>
          <w:sz w:val="20"/>
          <w:szCs w:val="20"/>
        </w:rPr>
      </w:pPr>
      <w:r w:rsidRPr="002D6C4B">
        <w:rPr>
          <w:rFonts w:ascii="Arial" w:hAnsi="Arial" w:cs="Arial"/>
          <w:b/>
          <w:sz w:val="20"/>
          <w:szCs w:val="20"/>
        </w:rPr>
        <w:t>ART. 1º.-</w:t>
      </w:r>
      <w:r w:rsidRPr="002D6C4B">
        <w:rPr>
          <w:rFonts w:ascii="Arial" w:hAnsi="Arial" w:cs="Arial"/>
          <w:sz w:val="20"/>
          <w:szCs w:val="20"/>
        </w:rPr>
        <w:tab/>
        <w:t xml:space="preserve">Fijase la suma de PESOS SESENTA Y SEIS MILLONES SIETE MIL QUINIENTOS ONCE CON 00/100 ($ </w:t>
      </w:r>
      <w:r w:rsidRPr="002D6C4B">
        <w:rPr>
          <w:rFonts w:ascii="Arial" w:hAnsi="Arial" w:cs="Arial"/>
          <w:sz w:val="20"/>
          <w:szCs w:val="20"/>
          <w:lang w:eastAsia="es-AR"/>
        </w:rPr>
        <w:t>66.007.511,00</w:t>
      </w:r>
      <w:r w:rsidRPr="002D6C4B">
        <w:rPr>
          <w:rFonts w:ascii="Arial" w:hAnsi="Arial" w:cs="Arial"/>
          <w:sz w:val="20"/>
          <w:szCs w:val="20"/>
        </w:rPr>
        <w:t>), el total de las erogaciones corrientes y de capital del</w:t>
      </w:r>
      <w:r w:rsidRPr="002D6C4B">
        <w:rPr>
          <w:rFonts w:ascii="Arial" w:hAnsi="Arial" w:cs="Arial"/>
          <w:color w:val="000000"/>
          <w:sz w:val="20"/>
          <w:szCs w:val="20"/>
        </w:rPr>
        <w:t xml:space="preserve"> Presupuesto General de la Administración Comunal de la Municipalidad de Potrero de los </w:t>
      </w:r>
      <w:proofErr w:type="spellStart"/>
      <w:r w:rsidRPr="002D6C4B">
        <w:rPr>
          <w:rFonts w:ascii="Arial" w:hAnsi="Arial" w:cs="Arial"/>
          <w:color w:val="000000"/>
          <w:sz w:val="20"/>
          <w:szCs w:val="20"/>
        </w:rPr>
        <w:t>Funes</w:t>
      </w:r>
      <w:proofErr w:type="spellEnd"/>
      <w:r w:rsidRPr="002D6C4B">
        <w:rPr>
          <w:rFonts w:ascii="Arial" w:hAnsi="Arial" w:cs="Arial"/>
          <w:color w:val="000000"/>
          <w:sz w:val="20"/>
          <w:szCs w:val="20"/>
        </w:rPr>
        <w:t xml:space="preserve"> para el Ejercicio 2020, con destino a la clasificación Económica que se indican a continuación, y analíticamente en las planillas anexas que forman parte integrante de la presente Ordenanza</w:t>
      </w:r>
    </w:p>
    <w:tbl>
      <w:tblPr>
        <w:tblW w:w="0" w:type="auto"/>
        <w:tblInd w:w="1771" w:type="dxa"/>
        <w:tblLayout w:type="fixed"/>
        <w:tblCellMar>
          <w:left w:w="70" w:type="dxa"/>
          <w:right w:w="70" w:type="dxa"/>
        </w:tblCellMar>
        <w:tblLook w:val="0000"/>
      </w:tblPr>
      <w:tblGrid>
        <w:gridCol w:w="4786"/>
        <w:gridCol w:w="2160"/>
      </w:tblGrid>
      <w:tr w:rsidR="00CF7E5B" w:rsidRPr="002D6C4B" w:rsidTr="00BF58FC">
        <w:trPr>
          <w:trHeight w:val="449"/>
        </w:trPr>
        <w:tc>
          <w:tcPr>
            <w:tcW w:w="4786" w:type="dxa"/>
          </w:tcPr>
          <w:p w:rsidR="00CF7E5B" w:rsidRPr="002D6C4B" w:rsidRDefault="00CF7E5B" w:rsidP="00BF58FC">
            <w:pPr>
              <w:autoSpaceDE w:val="0"/>
              <w:autoSpaceDN w:val="0"/>
              <w:adjustRightInd w:val="0"/>
              <w:spacing w:line="240" w:lineRule="auto"/>
              <w:rPr>
                <w:rFonts w:ascii="Arial" w:eastAsia="Calibri" w:hAnsi="Arial" w:cs="Arial"/>
                <w:b/>
                <w:bCs/>
                <w:color w:val="000000"/>
                <w:sz w:val="20"/>
                <w:szCs w:val="20"/>
                <w:lang w:eastAsia="es-AR"/>
              </w:rPr>
            </w:pPr>
            <w:r w:rsidRPr="002D6C4B">
              <w:rPr>
                <w:rFonts w:ascii="Arial" w:eastAsia="Calibri" w:hAnsi="Arial" w:cs="Arial"/>
                <w:b/>
                <w:bCs/>
                <w:color w:val="000000"/>
                <w:sz w:val="20"/>
                <w:szCs w:val="20"/>
                <w:lang w:eastAsia="es-AR"/>
              </w:rPr>
              <w:t>CLASIFICACIÓN ECONÓMICA</w:t>
            </w:r>
          </w:p>
        </w:tc>
        <w:tc>
          <w:tcPr>
            <w:tcW w:w="2160" w:type="dxa"/>
          </w:tcPr>
          <w:p w:rsidR="00CF7E5B" w:rsidRPr="002D6C4B" w:rsidRDefault="00CF7E5B" w:rsidP="00BF58FC">
            <w:pPr>
              <w:autoSpaceDE w:val="0"/>
              <w:autoSpaceDN w:val="0"/>
              <w:adjustRightInd w:val="0"/>
              <w:spacing w:line="240" w:lineRule="auto"/>
              <w:jc w:val="center"/>
              <w:rPr>
                <w:rFonts w:ascii="Arial" w:eastAsia="Calibri" w:hAnsi="Arial" w:cs="Arial"/>
                <w:b/>
                <w:bCs/>
                <w:color w:val="000000"/>
                <w:sz w:val="20"/>
                <w:szCs w:val="20"/>
                <w:lang w:eastAsia="es-AR"/>
              </w:rPr>
            </w:pPr>
            <w:r w:rsidRPr="002D6C4B">
              <w:rPr>
                <w:rFonts w:ascii="Arial" w:eastAsia="Calibri" w:hAnsi="Arial" w:cs="Arial"/>
                <w:b/>
                <w:bCs/>
                <w:color w:val="000000"/>
                <w:sz w:val="20"/>
                <w:szCs w:val="20"/>
                <w:lang w:eastAsia="es-AR"/>
              </w:rPr>
              <w:t>IMPORTE</w:t>
            </w:r>
          </w:p>
        </w:tc>
      </w:tr>
      <w:tr w:rsidR="00CF7E5B" w:rsidRPr="002D6C4B" w:rsidTr="00BF58FC">
        <w:trPr>
          <w:trHeight w:val="449"/>
        </w:trPr>
        <w:tc>
          <w:tcPr>
            <w:tcW w:w="4786" w:type="dxa"/>
            <w:tcBorders>
              <w:left w:val="nil"/>
              <w:bottom w:val="nil"/>
              <w:right w:val="nil"/>
            </w:tcBorders>
          </w:tcPr>
          <w:p w:rsidR="00CF7E5B" w:rsidRPr="002D6C4B" w:rsidRDefault="00CF7E5B" w:rsidP="00BF58FC">
            <w:pPr>
              <w:autoSpaceDE w:val="0"/>
              <w:autoSpaceDN w:val="0"/>
              <w:adjustRightInd w:val="0"/>
              <w:spacing w:line="240" w:lineRule="auto"/>
              <w:rPr>
                <w:rFonts w:ascii="Arial" w:eastAsia="Calibri" w:hAnsi="Arial" w:cs="Arial"/>
                <w:color w:val="000000"/>
                <w:sz w:val="20"/>
                <w:szCs w:val="20"/>
                <w:lang w:eastAsia="es-AR"/>
              </w:rPr>
            </w:pPr>
            <w:r w:rsidRPr="002D6C4B">
              <w:rPr>
                <w:rFonts w:ascii="Arial" w:eastAsia="Calibri" w:hAnsi="Arial" w:cs="Arial"/>
                <w:color w:val="000000"/>
                <w:sz w:val="20"/>
                <w:szCs w:val="20"/>
                <w:lang w:eastAsia="es-AR"/>
              </w:rPr>
              <w:t>Erogaciones Corrientes</w:t>
            </w:r>
          </w:p>
        </w:tc>
        <w:tc>
          <w:tcPr>
            <w:tcW w:w="2160" w:type="dxa"/>
            <w:tcBorders>
              <w:left w:val="nil"/>
              <w:bottom w:val="nil"/>
              <w:right w:val="nil"/>
            </w:tcBorders>
          </w:tcPr>
          <w:p w:rsidR="00CF7E5B" w:rsidRPr="002D6C4B" w:rsidRDefault="00CF7E5B" w:rsidP="00BF58FC">
            <w:pPr>
              <w:autoSpaceDE w:val="0"/>
              <w:autoSpaceDN w:val="0"/>
              <w:adjustRightInd w:val="0"/>
              <w:spacing w:line="240" w:lineRule="auto"/>
              <w:jc w:val="right"/>
              <w:rPr>
                <w:rFonts w:ascii="Arial" w:eastAsia="Calibri" w:hAnsi="Arial" w:cs="Arial"/>
                <w:color w:val="000000"/>
                <w:sz w:val="20"/>
                <w:szCs w:val="20"/>
                <w:lang w:eastAsia="es-AR"/>
              </w:rPr>
            </w:pPr>
            <w:r w:rsidRPr="002D6C4B">
              <w:rPr>
                <w:rFonts w:ascii="Arial" w:eastAsia="Calibri" w:hAnsi="Arial" w:cs="Arial"/>
                <w:color w:val="000000"/>
                <w:sz w:val="20"/>
                <w:szCs w:val="20"/>
                <w:lang w:eastAsia="es-AR"/>
              </w:rPr>
              <w:t>$ 47.935.106,76</w:t>
            </w:r>
          </w:p>
        </w:tc>
      </w:tr>
      <w:tr w:rsidR="00CF7E5B" w:rsidRPr="002D6C4B" w:rsidTr="00BF58FC">
        <w:trPr>
          <w:trHeight w:val="449"/>
        </w:trPr>
        <w:tc>
          <w:tcPr>
            <w:tcW w:w="4786" w:type="dxa"/>
            <w:tcBorders>
              <w:top w:val="nil"/>
              <w:left w:val="nil"/>
              <w:bottom w:val="nil"/>
              <w:right w:val="nil"/>
            </w:tcBorders>
          </w:tcPr>
          <w:p w:rsidR="00CF7E5B" w:rsidRPr="002D6C4B" w:rsidRDefault="00CF7E5B" w:rsidP="00BF58FC">
            <w:pPr>
              <w:autoSpaceDE w:val="0"/>
              <w:autoSpaceDN w:val="0"/>
              <w:adjustRightInd w:val="0"/>
              <w:spacing w:line="240" w:lineRule="auto"/>
              <w:rPr>
                <w:rFonts w:ascii="Arial" w:eastAsia="Calibri" w:hAnsi="Arial" w:cs="Arial"/>
                <w:color w:val="000000"/>
                <w:sz w:val="20"/>
                <w:szCs w:val="20"/>
                <w:lang w:eastAsia="es-AR"/>
              </w:rPr>
            </w:pPr>
            <w:r w:rsidRPr="002D6C4B">
              <w:rPr>
                <w:rFonts w:ascii="Arial" w:eastAsia="Calibri" w:hAnsi="Arial" w:cs="Arial"/>
                <w:color w:val="000000"/>
                <w:sz w:val="20"/>
                <w:szCs w:val="20"/>
                <w:lang w:eastAsia="es-AR"/>
              </w:rPr>
              <w:t>Erogaciones de Capital</w:t>
            </w:r>
          </w:p>
        </w:tc>
        <w:tc>
          <w:tcPr>
            <w:tcW w:w="2160" w:type="dxa"/>
            <w:tcBorders>
              <w:top w:val="nil"/>
              <w:left w:val="nil"/>
              <w:bottom w:val="nil"/>
              <w:right w:val="nil"/>
            </w:tcBorders>
          </w:tcPr>
          <w:p w:rsidR="00CF7E5B" w:rsidRPr="002D6C4B" w:rsidRDefault="00CF7E5B" w:rsidP="00BF58FC">
            <w:pPr>
              <w:autoSpaceDE w:val="0"/>
              <w:autoSpaceDN w:val="0"/>
              <w:adjustRightInd w:val="0"/>
              <w:spacing w:line="240" w:lineRule="auto"/>
              <w:jc w:val="right"/>
              <w:rPr>
                <w:rFonts w:ascii="Arial" w:eastAsia="Calibri" w:hAnsi="Arial" w:cs="Arial"/>
                <w:color w:val="000000"/>
                <w:sz w:val="20"/>
                <w:szCs w:val="20"/>
                <w:lang w:eastAsia="es-AR"/>
              </w:rPr>
            </w:pPr>
            <w:r w:rsidRPr="002D6C4B">
              <w:rPr>
                <w:rFonts w:ascii="Arial" w:eastAsia="Calibri" w:hAnsi="Arial" w:cs="Arial"/>
                <w:color w:val="000000"/>
                <w:sz w:val="20"/>
                <w:szCs w:val="20"/>
                <w:lang w:eastAsia="es-AR"/>
              </w:rPr>
              <w:t>$ 18.072.404,24</w:t>
            </w:r>
          </w:p>
        </w:tc>
      </w:tr>
      <w:tr w:rsidR="00CF7E5B" w:rsidRPr="002D6C4B" w:rsidTr="00BF58FC">
        <w:trPr>
          <w:trHeight w:val="449"/>
        </w:trPr>
        <w:tc>
          <w:tcPr>
            <w:tcW w:w="4786" w:type="dxa"/>
            <w:tcBorders>
              <w:top w:val="nil"/>
              <w:left w:val="nil"/>
              <w:bottom w:val="nil"/>
              <w:right w:val="nil"/>
            </w:tcBorders>
          </w:tcPr>
          <w:p w:rsidR="00CF7E5B" w:rsidRPr="002D6C4B" w:rsidRDefault="00CF7E5B" w:rsidP="00BF58FC">
            <w:pPr>
              <w:autoSpaceDE w:val="0"/>
              <w:autoSpaceDN w:val="0"/>
              <w:adjustRightInd w:val="0"/>
              <w:spacing w:line="240" w:lineRule="auto"/>
              <w:rPr>
                <w:rFonts w:ascii="Arial" w:eastAsia="Calibri" w:hAnsi="Arial" w:cs="Arial"/>
                <w:b/>
                <w:bCs/>
                <w:color w:val="000000"/>
                <w:sz w:val="20"/>
                <w:szCs w:val="20"/>
                <w:lang w:eastAsia="es-AR"/>
              </w:rPr>
            </w:pPr>
            <w:r w:rsidRPr="002D6C4B">
              <w:rPr>
                <w:rFonts w:ascii="Arial" w:eastAsia="Calibri" w:hAnsi="Arial" w:cs="Arial"/>
                <w:b/>
                <w:bCs/>
                <w:color w:val="000000"/>
                <w:sz w:val="20"/>
                <w:szCs w:val="20"/>
                <w:lang w:eastAsia="es-AR"/>
              </w:rPr>
              <w:t>TOTAL</w:t>
            </w:r>
          </w:p>
        </w:tc>
        <w:tc>
          <w:tcPr>
            <w:tcW w:w="2160" w:type="dxa"/>
            <w:tcBorders>
              <w:top w:val="nil"/>
              <w:left w:val="nil"/>
              <w:bottom w:val="nil"/>
              <w:right w:val="nil"/>
            </w:tcBorders>
          </w:tcPr>
          <w:p w:rsidR="00CF7E5B" w:rsidRPr="002D6C4B" w:rsidRDefault="00CF7E5B" w:rsidP="00BF58FC">
            <w:pPr>
              <w:autoSpaceDE w:val="0"/>
              <w:autoSpaceDN w:val="0"/>
              <w:adjustRightInd w:val="0"/>
              <w:spacing w:line="240" w:lineRule="auto"/>
              <w:jc w:val="right"/>
              <w:rPr>
                <w:rFonts w:ascii="Arial" w:eastAsia="Calibri" w:hAnsi="Arial" w:cs="Arial"/>
                <w:b/>
                <w:bCs/>
                <w:color w:val="000000"/>
                <w:sz w:val="20"/>
                <w:szCs w:val="20"/>
                <w:lang w:eastAsia="es-AR"/>
              </w:rPr>
            </w:pPr>
            <w:r w:rsidRPr="002D6C4B">
              <w:rPr>
                <w:rFonts w:ascii="Arial" w:eastAsia="Calibri" w:hAnsi="Arial" w:cs="Arial"/>
                <w:b/>
                <w:bCs/>
                <w:color w:val="000000"/>
                <w:sz w:val="20"/>
                <w:szCs w:val="20"/>
                <w:lang w:eastAsia="es-AR"/>
              </w:rPr>
              <w:t>$ 66.007.511,00</w:t>
            </w:r>
          </w:p>
        </w:tc>
      </w:tr>
    </w:tbl>
    <w:p w:rsidR="00CF7E5B" w:rsidRPr="002D6C4B" w:rsidRDefault="00CF7E5B" w:rsidP="00CF7E5B">
      <w:pPr>
        <w:spacing w:line="240" w:lineRule="auto"/>
        <w:jc w:val="both"/>
        <w:rPr>
          <w:rFonts w:ascii="Arial" w:hAnsi="Arial" w:cs="Arial"/>
          <w:color w:val="000000"/>
          <w:sz w:val="20"/>
          <w:szCs w:val="20"/>
        </w:rPr>
      </w:pPr>
    </w:p>
    <w:p w:rsidR="00CF7E5B" w:rsidRPr="002D6C4B" w:rsidRDefault="00CF7E5B" w:rsidP="00CF7E5B">
      <w:pPr>
        <w:spacing w:line="240" w:lineRule="auto"/>
        <w:ind w:left="1276" w:hanging="1276"/>
        <w:jc w:val="both"/>
        <w:rPr>
          <w:rFonts w:ascii="Arial" w:hAnsi="Arial" w:cs="Arial"/>
          <w:color w:val="000000"/>
          <w:sz w:val="20"/>
          <w:szCs w:val="20"/>
        </w:rPr>
      </w:pPr>
      <w:r w:rsidRPr="002D6C4B">
        <w:rPr>
          <w:rFonts w:ascii="Arial" w:hAnsi="Arial" w:cs="Arial"/>
          <w:b/>
          <w:color w:val="000000"/>
          <w:sz w:val="20"/>
          <w:szCs w:val="20"/>
        </w:rPr>
        <w:t>ART. 2º.-</w:t>
      </w:r>
      <w:r w:rsidRPr="002D6C4B">
        <w:rPr>
          <w:rFonts w:ascii="Arial" w:hAnsi="Arial" w:cs="Arial"/>
          <w:color w:val="000000"/>
          <w:sz w:val="20"/>
          <w:szCs w:val="20"/>
        </w:rPr>
        <w:tab/>
        <w:t xml:space="preserve">Estimase la suma de </w:t>
      </w:r>
      <w:r w:rsidRPr="002D6C4B">
        <w:rPr>
          <w:rFonts w:ascii="Arial" w:hAnsi="Arial" w:cs="Arial"/>
          <w:sz w:val="20"/>
          <w:szCs w:val="20"/>
        </w:rPr>
        <w:t xml:space="preserve">PESOS SESENTA Y SEIS MILLONES SIETE MIL QUINIENTOS ONCE CON 00/100 ($ </w:t>
      </w:r>
      <w:r w:rsidRPr="002D6C4B">
        <w:rPr>
          <w:rFonts w:ascii="Arial" w:hAnsi="Arial" w:cs="Arial"/>
          <w:sz w:val="20"/>
          <w:szCs w:val="20"/>
          <w:lang w:eastAsia="es-AR"/>
        </w:rPr>
        <w:t>66.007.511,00</w:t>
      </w:r>
      <w:r w:rsidRPr="002D6C4B">
        <w:rPr>
          <w:rFonts w:ascii="Arial" w:hAnsi="Arial" w:cs="Arial"/>
          <w:sz w:val="20"/>
          <w:szCs w:val="20"/>
        </w:rPr>
        <w:t>)</w:t>
      </w:r>
      <w:r w:rsidRPr="002D6C4B">
        <w:rPr>
          <w:rFonts w:ascii="Arial" w:hAnsi="Arial" w:cs="Arial"/>
          <w:color w:val="000000"/>
          <w:sz w:val="20"/>
          <w:szCs w:val="20"/>
        </w:rPr>
        <w:t>, las fuentes de financiamiento destinadas a atender las erogaciones a que se refiere el artículo precedente, de acuerdo con la distribución que se indica a continuación y al detalle que figura en las planillas anexas que forman parte de la p</w:t>
      </w:r>
      <w:r>
        <w:rPr>
          <w:rFonts w:ascii="Arial" w:hAnsi="Arial" w:cs="Arial"/>
          <w:color w:val="000000"/>
          <w:sz w:val="20"/>
          <w:szCs w:val="20"/>
        </w:rPr>
        <w:t>resente Ordenanza:</w:t>
      </w:r>
    </w:p>
    <w:p w:rsidR="00CF7E5B" w:rsidRPr="002D6C4B" w:rsidRDefault="00CF7E5B" w:rsidP="00CF7E5B">
      <w:pPr>
        <w:spacing w:line="240" w:lineRule="auto"/>
        <w:ind w:left="1276" w:hanging="1276"/>
        <w:jc w:val="both"/>
        <w:rPr>
          <w:rFonts w:ascii="Arial" w:hAnsi="Arial" w:cs="Arial"/>
          <w:color w:val="000000"/>
          <w:sz w:val="20"/>
          <w:szCs w:val="20"/>
        </w:rPr>
      </w:pPr>
    </w:p>
    <w:tbl>
      <w:tblPr>
        <w:tblW w:w="0" w:type="auto"/>
        <w:tblInd w:w="1913" w:type="dxa"/>
        <w:tblLayout w:type="fixed"/>
        <w:tblCellMar>
          <w:left w:w="70" w:type="dxa"/>
          <w:right w:w="70" w:type="dxa"/>
        </w:tblCellMar>
        <w:tblLook w:val="0000"/>
      </w:tblPr>
      <w:tblGrid>
        <w:gridCol w:w="4786"/>
        <w:gridCol w:w="2160"/>
      </w:tblGrid>
      <w:tr w:rsidR="00CF7E5B" w:rsidRPr="002D6C4B" w:rsidTr="00BF58FC">
        <w:trPr>
          <w:trHeight w:val="552"/>
        </w:trPr>
        <w:tc>
          <w:tcPr>
            <w:tcW w:w="4786" w:type="dxa"/>
            <w:tcBorders>
              <w:top w:val="nil"/>
              <w:left w:val="nil"/>
              <w:bottom w:val="nil"/>
              <w:right w:val="nil"/>
            </w:tcBorders>
          </w:tcPr>
          <w:p w:rsidR="00CF7E5B" w:rsidRPr="002D6C4B" w:rsidRDefault="00CF7E5B" w:rsidP="00BF58FC">
            <w:pPr>
              <w:autoSpaceDE w:val="0"/>
              <w:autoSpaceDN w:val="0"/>
              <w:adjustRightInd w:val="0"/>
              <w:spacing w:line="240" w:lineRule="auto"/>
              <w:jc w:val="center"/>
              <w:rPr>
                <w:rFonts w:ascii="Arial" w:eastAsia="Calibri" w:hAnsi="Arial" w:cs="Arial"/>
                <w:b/>
                <w:bCs/>
                <w:color w:val="000000"/>
                <w:sz w:val="20"/>
                <w:szCs w:val="20"/>
                <w:lang w:eastAsia="es-AR"/>
              </w:rPr>
            </w:pPr>
            <w:r w:rsidRPr="002D6C4B">
              <w:rPr>
                <w:rFonts w:ascii="Arial" w:eastAsia="Calibri" w:hAnsi="Arial" w:cs="Arial"/>
                <w:b/>
                <w:bCs/>
                <w:color w:val="000000"/>
                <w:sz w:val="20"/>
                <w:szCs w:val="20"/>
                <w:lang w:eastAsia="es-AR"/>
              </w:rPr>
              <w:t>FUENTE DE FINANCIAMIENTO SEGÚN SU PROCEDENCIA</w:t>
            </w:r>
          </w:p>
        </w:tc>
        <w:tc>
          <w:tcPr>
            <w:tcW w:w="2160" w:type="dxa"/>
            <w:tcBorders>
              <w:top w:val="nil"/>
              <w:left w:val="nil"/>
              <w:bottom w:val="nil"/>
              <w:right w:val="nil"/>
            </w:tcBorders>
          </w:tcPr>
          <w:p w:rsidR="00CF7E5B" w:rsidRPr="002D6C4B" w:rsidRDefault="00CF7E5B" w:rsidP="00BF58FC">
            <w:pPr>
              <w:autoSpaceDE w:val="0"/>
              <w:autoSpaceDN w:val="0"/>
              <w:adjustRightInd w:val="0"/>
              <w:spacing w:line="240" w:lineRule="auto"/>
              <w:jc w:val="center"/>
              <w:rPr>
                <w:rFonts w:ascii="Arial" w:eastAsia="Calibri" w:hAnsi="Arial" w:cs="Arial"/>
                <w:b/>
                <w:bCs/>
                <w:color w:val="000000"/>
                <w:sz w:val="20"/>
                <w:szCs w:val="20"/>
                <w:lang w:eastAsia="es-AR"/>
              </w:rPr>
            </w:pPr>
            <w:r w:rsidRPr="002D6C4B">
              <w:rPr>
                <w:rFonts w:ascii="Arial" w:eastAsia="Calibri" w:hAnsi="Arial" w:cs="Arial"/>
                <w:b/>
                <w:bCs/>
                <w:color w:val="000000"/>
                <w:sz w:val="20"/>
                <w:szCs w:val="20"/>
                <w:lang w:eastAsia="es-AR"/>
              </w:rPr>
              <w:t>IMPORTE</w:t>
            </w:r>
          </w:p>
        </w:tc>
      </w:tr>
      <w:tr w:rsidR="00CF7E5B" w:rsidRPr="002D6C4B" w:rsidTr="00BF58FC">
        <w:trPr>
          <w:trHeight w:val="187"/>
        </w:trPr>
        <w:tc>
          <w:tcPr>
            <w:tcW w:w="4786" w:type="dxa"/>
            <w:tcBorders>
              <w:top w:val="nil"/>
              <w:left w:val="nil"/>
              <w:bottom w:val="nil"/>
              <w:right w:val="nil"/>
            </w:tcBorders>
          </w:tcPr>
          <w:p w:rsidR="00CF7E5B" w:rsidRPr="002D6C4B" w:rsidRDefault="00CF7E5B" w:rsidP="00BF58FC">
            <w:pPr>
              <w:autoSpaceDE w:val="0"/>
              <w:autoSpaceDN w:val="0"/>
              <w:adjustRightInd w:val="0"/>
              <w:spacing w:line="240" w:lineRule="auto"/>
              <w:jc w:val="right"/>
              <w:rPr>
                <w:rFonts w:ascii="Arial" w:eastAsia="Calibri" w:hAnsi="Arial" w:cs="Arial"/>
                <w:color w:val="000000"/>
                <w:sz w:val="20"/>
                <w:szCs w:val="20"/>
                <w:lang w:eastAsia="es-AR"/>
              </w:rPr>
            </w:pPr>
          </w:p>
        </w:tc>
        <w:tc>
          <w:tcPr>
            <w:tcW w:w="2160" w:type="dxa"/>
            <w:tcBorders>
              <w:top w:val="nil"/>
              <w:left w:val="nil"/>
              <w:bottom w:val="nil"/>
              <w:right w:val="nil"/>
            </w:tcBorders>
          </w:tcPr>
          <w:p w:rsidR="00CF7E5B" w:rsidRPr="002D6C4B" w:rsidRDefault="00CF7E5B" w:rsidP="00BF58FC">
            <w:pPr>
              <w:autoSpaceDE w:val="0"/>
              <w:autoSpaceDN w:val="0"/>
              <w:adjustRightInd w:val="0"/>
              <w:spacing w:line="240" w:lineRule="auto"/>
              <w:jc w:val="right"/>
              <w:rPr>
                <w:rFonts w:ascii="Arial" w:eastAsia="Calibri" w:hAnsi="Arial" w:cs="Arial"/>
                <w:color w:val="000000"/>
                <w:sz w:val="20"/>
                <w:szCs w:val="20"/>
                <w:lang w:eastAsia="es-AR"/>
              </w:rPr>
            </w:pPr>
          </w:p>
        </w:tc>
      </w:tr>
      <w:tr w:rsidR="00CF7E5B" w:rsidRPr="002D6C4B" w:rsidTr="00BF58FC">
        <w:trPr>
          <w:trHeight w:val="290"/>
        </w:trPr>
        <w:tc>
          <w:tcPr>
            <w:tcW w:w="4786" w:type="dxa"/>
            <w:tcBorders>
              <w:top w:val="nil"/>
              <w:left w:val="nil"/>
              <w:bottom w:val="nil"/>
              <w:right w:val="nil"/>
            </w:tcBorders>
          </w:tcPr>
          <w:p w:rsidR="00CF7E5B" w:rsidRPr="002D6C4B" w:rsidRDefault="00CF7E5B" w:rsidP="00BF58FC">
            <w:pPr>
              <w:autoSpaceDE w:val="0"/>
              <w:autoSpaceDN w:val="0"/>
              <w:adjustRightInd w:val="0"/>
              <w:spacing w:line="240" w:lineRule="auto"/>
              <w:rPr>
                <w:rFonts w:ascii="Arial" w:eastAsia="Calibri" w:hAnsi="Arial" w:cs="Arial"/>
                <w:color w:val="000000"/>
                <w:sz w:val="20"/>
                <w:szCs w:val="20"/>
                <w:lang w:eastAsia="es-AR"/>
              </w:rPr>
            </w:pPr>
            <w:r w:rsidRPr="002D6C4B">
              <w:rPr>
                <w:rFonts w:ascii="Arial" w:eastAsia="Calibri" w:hAnsi="Arial" w:cs="Arial"/>
                <w:color w:val="000000"/>
                <w:sz w:val="20"/>
                <w:szCs w:val="20"/>
                <w:lang w:eastAsia="es-AR"/>
              </w:rPr>
              <w:t>Recursos Municipales</w:t>
            </w:r>
          </w:p>
        </w:tc>
        <w:tc>
          <w:tcPr>
            <w:tcW w:w="2160" w:type="dxa"/>
            <w:tcBorders>
              <w:top w:val="nil"/>
              <w:left w:val="nil"/>
              <w:bottom w:val="nil"/>
              <w:right w:val="nil"/>
            </w:tcBorders>
          </w:tcPr>
          <w:p w:rsidR="00CF7E5B" w:rsidRPr="002D6C4B" w:rsidRDefault="00CF7E5B" w:rsidP="00BF58FC">
            <w:pPr>
              <w:autoSpaceDE w:val="0"/>
              <w:autoSpaceDN w:val="0"/>
              <w:adjustRightInd w:val="0"/>
              <w:spacing w:line="240" w:lineRule="auto"/>
              <w:jc w:val="right"/>
              <w:rPr>
                <w:rFonts w:ascii="Arial" w:eastAsia="Calibri" w:hAnsi="Arial" w:cs="Arial"/>
                <w:color w:val="000000"/>
                <w:sz w:val="20"/>
                <w:szCs w:val="20"/>
                <w:lang w:eastAsia="es-AR"/>
              </w:rPr>
            </w:pPr>
            <w:r w:rsidRPr="002D6C4B">
              <w:rPr>
                <w:rFonts w:ascii="Arial" w:eastAsia="Calibri" w:hAnsi="Arial" w:cs="Arial"/>
                <w:color w:val="000000"/>
                <w:sz w:val="20"/>
                <w:szCs w:val="20"/>
                <w:lang w:eastAsia="es-AR"/>
              </w:rPr>
              <w:t>$ 38.004.227,22</w:t>
            </w:r>
          </w:p>
        </w:tc>
      </w:tr>
      <w:tr w:rsidR="00CF7E5B" w:rsidRPr="002D6C4B" w:rsidTr="00BF58FC">
        <w:trPr>
          <w:trHeight w:val="276"/>
        </w:trPr>
        <w:tc>
          <w:tcPr>
            <w:tcW w:w="4786" w:type="dxa"/>
            <w:tcBorders>
              <w:top w:val="nil"/>
              <w:left w:val="nil"/>
              <w:bottom w:val="nil"/>
              <w:right w:val="nil"/>
            </w:tcBorders>
          </w:tcPr>
          <w:p w:rsidR="00CF7E5B" w:rsidRPr="002D6C4B" w:rsidRDefault="00CF7E5B" w:rsidP="00BF58FC">
            <w:pPr>
              <w:autoSpaceDE w:val="0"/>
              <w:autoSpaceDN w:val="0"/>
              <w:adjustRightInd w:val="0"/>
              <w:spacing w:line="240" w:lineRule="auto"/>
              <w:rPr>
                <w:rFonts w:ascii="Arial" w:eastAsia="Calibri" w:hAnsi="Arial" w:cs="Arial"/>
                <w:color w:val="000000"/>
                <w:sz w:val="20"/>
                <w:szCs w:val="20"/>
                <w:lang w:eastAsia="es-AR"/>
              </w:rPr>
            </w:pPr>
            <w:r w:rsidRPr="002D6C4B">
              <w:rPr>
                <w:rFonts w:ascii="Arial" w:eastAsia="Calibri" w:hAnsi="Arial" w:cs="Arial"/>
                <w:color w:val="000000"/>
                <w:sz w:val="20"/>
                <w:szCs w:val="20"/>
                <w:lang w:eastAsia="es-AR"/>
              </w:rPr>
              <w:t>Recursos Provinciales</w:t>
            </w:r>
          </w:p>
        </w:tc>
        <w:tc>
          <w:tcPr>
            <w:tcW w:w="2160" w:type="dxa"/>
            <w:tcBorders>
              <w:top w:val="nil"/>
              <w:left w:val="nil"/>
              <w:bottom w:val="nil"/>
              <w:right w:val="nil"/>
            </w:tcBorders>
          </w:tcPr>
          <w:p w:rsidR="00CF7E5B" w:rsidRPr="002D6C4B" w:rsidRDefault="00CF7E5B" w:rsidP="00BF58FC">
            <w:pPr>
              <w:spacing w:line="240" w:lineRule="auto"/>
              <w:jc w:val="right"/>
              <w:rPr>
                <w:rFonts w:ascii="Arial" w:hAnsi="Arial" w:cs="Arial"/>
                <w:color w:val="000000"/>
                <w:sz w:val="20"/>
                <w:szCs w:val="20"/>
              </w:rPr>
            </w:pPr>
            <w:r w:rsidRPr="002D6C4B">
              <w:rPr>
                <w:rFonts w:ascii="Arial" w:hAnsi="Arial" w:cs="Arial"/>
                <w:color w:val="000000"/>
                <w:sz w:val="20"/>
                <w:szCs w:val="20"/>
              </w:rPr>
              <w:t>$ 28.003.283,78</w:t>
            </w:r>
          </w:p>
        </w:tc>
      </w:tr>
      <w:tr w:rsidR="00CF7E5B" w:rsidRPr="002D6C4B" w:rsidTr="00BF58FC">
        <w:trPr>
          <w:trHeight w:val="276"/>
        </w:trPr>
        <w:tc>
          <w:tcPr>
            <w:tcW w:w="4786" w:type="dxa"/>
            <w:tcBorders>
              <w:top w:val="nil"/>
              <w:left w:val="nil"/>
              <w:bottom w:val="nil"/>
              <w:right w:val="nil"/>
            </w:tcBorders>
          </w:tcPr>
          <w:p w:rsidR="00CF7E5B" w:rsidRPr="002D6C4B" w:rsidRDefault="00CF7E5B" w:rsidP="00BF58FC">
            <w:pPr>
              <w:autoSpaceDE w:val="0"/>
              <w:autoSpaceDN w:val="0"/>
              <w:adjustRightInd w:val="0"/>
              <w:spacing w:line="240" w:lineRule="auto"/>
              <w:rPr>
                <w:rFonts w:ascii="Arial" w:eastAsia="Calibri" w:hAnsi="Arial" w:cs="Arial"/>
                <w:color w:val="000000"/>
                <w:sz w:val="20"/>
                <w:szCs w:val="20"/>
                <w:lang w:eastAsia="es-AR"/>
              </w:rPr>
            </w:pPr>
            <w:r w:rsidRPr="002D6C4B">
              <w:rPr>
                <w:rFonts w:ascii="Arial" w:eastAsia="Calibri" w:hAnsi="Arial" w:cs="Arial"/>
                <w:color w:val="000000"/>
                <w:sz w:val="20"/>
                <w:szCs w:val="20"/>
                <w:lang w:eastAsia="es-AR"/>
              </w:rPr>
              <w:t>Recursos Nacionales</w:t>
            </w:r>
          </w:p>
        </w:tc>
        <w:tc>
          <w:tcPr>
            <w:tcW w:w="2160" w:type="dxa"/>
            <w:tcBorders>
              <w:top w:val="nil"/>
              <w:left w:val="nil"/>
              <w:bottom w:val="nil"/>
              <w:right w:val="nil"/>
            </w:tcBorders>
          </w:tcPr>
          <w:p w:rsidR="00CF7E5B" w:rsidRPr="002D6C4B" w:rsidRDefault="00CF7E5B" w:rsidP="00BF58FC">
            <w:pPr>
              <w:autoSpaceDE w:val="0"/>
              <w:autoSpaceDN w:val="0"/>
              <w:adjustRightInd w:val="0"/>
              <w:spacing w:line="240" w:lineRule="auto"/>
              <w:jc w:val="right"/>
              <w:rPr>
                <w:rFonts w:ascii="Arial" w:eastAsia="Calibri" w:hAnsi="Arial" w:cs="Arial"/>
                <w:color w:val="000000"/>
                <w:sz w:val="20"/>
                <w:szCs w:val="20"/>
                <w:lang w:eastAsia="es-AR"/>
              </w:rPr>
            </w:pPr>
          </w:p>
        </w:tc>
      </w:tr>
      <w:tr w:rsidR="00CF7E5B" w:rsidRPr="002D6C4B" w:rsidTr="00BF58FC">
        <w:trPr>
          <w:trHeight w:val="158"/>
        </w:trPr>
        <w:tc>
          <w:tcPr>
            <w:tcW w:w="4786" w:type="dxa"/>
            <w:tcBorders>
              <w:top w:val="nil"/>
              <w:left w:val="nil"/>
              <w:bottom w:val="nil"/>
              <w:right w:val="nil"/>
            </w:tcBorders>
          </w:tcPr>
          <w:p w:rsidR="00CF7E5B" w:rsidRPr="002D6C4B" w:rsidRDefault="00CF7E5B" w:rsidP="00BF58FC">
            <w:pPr>
              <w:autoSpaceDE w:val="0"/>
              <w:autoSpaceDN w:val="0"/>
              <w:adjustRightInd w:val="0"/>
              <w:spacing w:line="240" w:lineRule="auto"/>
              <w:rPr>
                <w:rFonts w:ascii="Arial" w:eastAsia="Calibri" w:hAnsi="Arial" w:cs="Arial"/>
                <w:color w:val="000000"/>
                <w:sz w:val="20"/>
                <w:szCs w:val="20"/>
                <w:lang w:eastAsia="es-AR"/>
              </w:rPr>
            </w:pPr>
          </w:p>
        </w:tc>
        <w:tc>
          <w:tcPr>
            <w:tcW w:w="2160" w:type="dxa"/>
            <w:tcBorders>
              <w:top w:val="nil"/>
              <w:left w:val="nil"/>
              <w:bottom w:val="nil"/>
              <w:right w:val="nil"/>
            </w:tcBorders>
          </w:tcPr>
          <w:p w:rsidR="00CF7E5B" w:rsidRPr="002D6C4B" w:rsidRDefault="00CF7E5B" w:rsidP="00BF58FC">
            <w:pPr>
              <w:autoSpaceDE w:val="0"/>
              <w:autoSpaceDN w:val="0"/>
              <w:adjustRightInd w:val="0"/>
              <w:spacing w:line="240" w:lineRule="auto"/>
              <w:jc w:val="right"/>
              <w:rPr>
                <w:rFonts w:ascii="Arial" w:eastAsia="Calibri" w:hAnsi="Arial" w:cs="Arial"/>
                <w:color w:val="000000"/>
                <w:sz w:val="20"/>
                <w:szCs w:val="20"/>
                <w:lang w:eastAsia="es-AR"/>
              </w:rPr>
            </w:pPr>
          </w:p>
        </w:tc>
      </w:tr>
      <w:tr w:rsidR="00CF7E5B" w:rsidRPr="002D6C4B" w:rsidTr="00BF58FC">
        <w:trPr>
          <w:trHeight w:val="406"/>
        </w:trPr>
        <w:tc>
          <w:tcPr>
            <w:tcW w:w="4786" w:type="dxa"/>
            <w:tcBorders>
              <w:top w:val="nil"/>
              <w:left w:val="nil"/>
              <w:bottom w:val="nil"/>
              <w:right w:val="nil"/>
            </w:tcBorders>
          </w:tcPr>
          <w:p w:rsidR="00CF7E5B" w:rsidRPr="002D6C4B" w:rsidRDefault="00CF7E5B" w:rsidP="00BF58FC">
            <w:pPr>
              <w:autoSpaceDE w:val="0"/>
              <w:autoSpaceDN w:val="0"/>
              <w:adjustRightInd w:val="0"/>
              <w:spacing w:line="240" w:lineRule="auto"/>
              <w:rPr>
                <w:rFonts w:ascii="Arial" w:eastAsia="Calibri" w:hAnsi="Arial" w:cs="Arial"/>
                <w:b/>
                <w:bCs/>
                <w:color w:val="000000"/>
                <w:sz w:val="20"/>
                <w:szCs w:val="20"/>
                <w:lang w:eastAsia="es-AR"/>
              </w:rPr>
            </w:pPr>
            <w:r w:rsidRPr="002D6C4B">
              <w:rPr>
                <w:rFonts w:ascii="Arial" w:eastAsia="Calibri" w:hAnsi="Arial" w:cs="Arial"/>
                <w:b/>
                <w:bCs/>
                <w:color w:val="000000"/>
                <w:sz w:val="20"/>
                <w:szCs w:val="20"/>
                <w:lang w:eastAsia="es-AR"/>
              </w:rPr>
              <w:t>TOTAL</w:t>
            </w:r>
          </w:p>
        </w:tc>
        <w:tc>
          <w:tcPr>
            <w:tcW w:w="2160" w:type="dxa"/>
            <w:tcBorders>
              <w:top w:val="nil"/>
              <w:left w:val="nil"/>
              <w:bottom w:val="nil"/>
              <w:right w:val="nil"/>
            </w:tcBorders>
          </w:tcPr>
          <w:p w:rsidR="00CF7E5B" w:rsidRPr="002D6C4B" w:rsidRDefault="00CF7E5B" w:rsidP="00BF58FC">
            <w:pPr>
              <w:autoSpaceDE w:val="0"/>
              <w:autoSpaceDN w:val="0"/>
              <w:adjustRightInd w:val="0"/>
              <w:spacing w:line="240" w:lineRule="auto"/>
              <w:jc w:val="right"/>
              <w:rPr>
                <w:rFonts w:ascii="Arial" w:eastAsia="Calibri" w:hAnsi="Arial" w:cs="Arial"/>
                <w:b/>
                <w:bCs/>
                <w:color w:val="000000"/>
                <w:sz w:val="20"/>
                <w:szCs w:val="20"/>
                <w:lang w:eastAsia="es-AR"/>
              </w:rPr>
            </w:pPr>
            <w:r w:rsidRPr="002D6C4B">
              <w:rPr>
                <w:rFonts w:ascii="Arial" w:eastAsia="Calibri" w:hAnsi="Arial" w:cs="Arial"/>
                <w:b/>
                <w:bCs/>
                <w:color w:val="000000"/>
                <w:sz w:val="20"/>
                <w:szCs w:val="20"/>
                <w:lang w:eastAsia="es-AR"/>
              </w:rPr>
              <w:t>$ 66.007.511,00</w:t>
            </w:r>
          </w:p>
        </w:tc>
      </w:tr>
    </w:tbl>
    <w:p w:rsidR="00CF7E5B" w:rsidRPr="002D6C4B" w:rsidRDefault="00CF7E5B" w:rsidP="00CF7E5B">
      <w:pPr>
        <w:spacing w:line="240" w:lineRule="auto"/>
        <w:jc w:val="both"/>
        <w:rPr>
          <w:rFonts w:ascii="Arial" w:hAnsi="Arial" w:cs="Arial"/>
          <w:color w:val="000000"/>
          <w:sz w:val="20"/>
          <w:szCs w:val="20"/>
        </w:rPr>
      </w:pPr>
    </w:p>
    <w:p w:rsidR="00CF7E5B" w:rsidRPr="002D6C4B" w:rsidRDefault="00CF7E5B" w:rsidP="00CF7E5B">
      <w:pPr>
        <w:spacing w:line="240" w:lineRule="auto"/>
        <w:ind w:left="1276" w:hanging="1276"/>
        <w:jc w:val="both"/>
        <w:rPr>
          <w:rFonts w:ascii="Arial" w:hAnsi="Arial" w:cs="Arial"/>
          <w:color w:val="000000"/>
          <w:sz w:val="20"/>
          <w:szCs w:val="20"/>
        </w:rPr>
      </w:pPr>
      <w:r w:rsidRPr="002D6C4B">
        <w:rPr>
          <w:rFonts w:ascii="Arial" w:hAnsi="Arial" w:cs="Arial"/>
          <w:b/>
          <w:color w:val="000000"/>
          <w:sz w:val="20"/>
          <w:szCs w:val="20"/>
        </w:rPr>
        <w:t>ART. 3º.-</w:t>
      </w:r>
      <w:r w:rsidRPr="002D6C4B">
        <w:rPr>
          <w:rFonts w:ascii="Arial" w:hAnsi="Arial" w:cs="Arial"/>
          <w:color w:val="000000"/>
          <w:sz w:val="20"/>
          <w:szCs w:val="20"/>
        </w:rPr>
        <w:tab/>
        <w:t>Como consecuencia de lo establecido en los artículos precedentes estímese el Balance y Resultado Financiero Preventivo para el Ejercicio 2020 de acuerdo al siguiente esquema y al detalle que figura en las planillas anexas que forman parte integrante de la presente Ordenanza:</w:t>
      </w:r>
    </w:p>
    <w:tbl>
      <w:tblPr>
        <w:tblW w:w="0" w:type="auto"/>
        <w:tblInd w:w="1771" w:type="dxa"/>
        <w:tblLayout w:type="fixed"/>
        <w:tblCellMar>
          <w:left w:w="70" w:type="dxa"/>
          <w:right w:w="70" w:type="dxa"/>
        </w:tblCellMar>
        <w:tblLook w:val="0000"/>
      </w:tblPr>
      <w:tblGrid>
        <w:gridCol w:w="4786"/>
        <w:gridCol w:w="2160"/>
      </w:tblGrid>
      <w:tr w:rsidR="00CF7E5B" w:rsidRPr="002D6C4B" w:rsidTr="00BF58FC">
        <w:trPr>
          <w:trHeight w:val="581"/>
        </w:trPr>
        <w:tc>
          <w:tcPr>
            <w:tcW w:w="4786" w:type="dxa"/>
            <w:tcBorders>
              <w:top w:val="nil"/>
              <w:left w:val="nil"/>
              <w:bottom w:val="nil"/>
              <w:right w:val="nil"/>
            </w:tcBorders>
          </w:tcPr>
          <w:p w:rsidR="00CF7E5B" w:rsidRPr="002D6C4B" w:rsidRDefault="00CF7E5B" w:rsidP="00BF58FC">
            <w:pPr>
              <w:autoSpaceDE w:val="0"/>
              <w:autoSpaceDN w:val="0"/>
              <w:adjustRightInd w:val="0"/>
              <w:spacing w:line="240" w:lineRule="auto"/>
              <w:rPr>
                <w:rFonts w:ascii="Arial" w:eastAsia="Calibri" w:hAnsi="Arial" w:cs="Arial"/>
                <w:b/>
                <w:bCs/>
                <w:color w:val="000000"/>
                <w:sz w:val="20"/>
                <w:szCs w:val="20"/>
                <w:lang w:eastAsia="es-AR"/>
              </w:rPr>
            </w:pPr>
            <w:r w:rsidRPr="002D6C4B">
              <w:rPr>
                <w:rFonts w:ascii="Arial" w:eastAsia="Calibri" w:hAnsi="Arial" w:cs="Arial"/>
                <w:b/>
                <w:bCs/>
                <w:color w:val="000000"/>
                <w:sz w:val="20"/>
                <w:szCs w:val="20"/>
                <w:lang w:eastAsia="es-AR"/>
              </w:rPr>
              <w:t>CUADRO DE BALANCE Y RESULTADO FINANCIERO PREVENTIVO</w:t>
            </w:r>
          </w:p>
        </w:tc>
        <w:tc>
          <w:tcPr>
            <w:tcW w:w="2160" w:type="dxa"/>
            <w:tcBorders>
              <w:top w:val="nil"/>
              <w:left w:val="nil"/>
              <w:bottom w:val="nil"/>
              <w:right w:val="nil"/>
            </w:tcBorders>
          </w:tcPr>
          <w:p w:rsidR="00CF7E5B" w:rsidRPr="002D6C4B" w:rsidRDefault="00CF7E5B" w:rsidP="00BF58FC">
            <w:pPr>
              <w:autoSpaceDE w:val="0"/>
              <w:autoSpaceDN w:val="0"/>
              <w:adjustRightInd w:val="0"/>
              <w:spacing w:line="240" w:lineRule="auto"/>
              <w:jc w:val="center"/>
              <w:rPr>
                <w:rFonts w:ascii="Arial" w:eastAsia="Calibri" w:hAnsi="Arial" w:cs="Arial"/>
                <w:b/>
                <w:bCs/>
                <w:color w:val="000000"/>
                <w:sz w:val="20"/>
                <w:szCs w:val="20"/>
                <w:lang w:eastAsia="es-AR"/>
              </w:rPr>
            </w:pPr>
            <w:r w:rsidRPr="002D6C4B">
              <w:rPr>
                <w:rFonts w:ascii="Arial" w:eastAsia="Calibri" w:hAnsi="Arial" w:cs="Arial"/>
                <w:b/>
                <w:bCs/>
                <w:color w:val="000000"/>
                <w:sz w:val="20"/>
                <w:szCs w:val="20"/>
                <w:lang w:eastAsia="es-AR"/>
              </w:rPr>
              <w:t>IMPORTE</w:t>
            </w:r>
          </w:p>
        </w:tc>
      </w:tr>
      <w:tr w:rsidR="00CF7E5B" w:rsidRPr="002D6C4B" w:rsidTr="00BF58FC">
        <w:trPr>
          <w:trHeight w:val="276"/>
        </w:trPr>
        <w:tc>
          <w:tcPr>
            <w:tcW w:w="4786" w:type="dxa"/>
            <w:tcBorders>
              <w:top w:val="nil"/>
              <w:left w:val="nil"/>
              <w:bottom w:val="nil"/>
              <w:right w:val="nil"/>
            </w:tcBorders>
          </w:tcPr>
          <w:p w:rsidR="00CF7E5B" w:rsidRPr="002D6C4B" w:rsidRDefault="00CF7E5B" w:rsidP="00BF58FC">
            <w:pPr>
              <w:autoSpaceDE w:val="0"/>
              <w:autoSpaceDN w:val="0"/>
              <w:adjustRightInd w:val="0"/>
              <w:spacing w:line="240" w:lineRule="auto"/>
              <w:rPr>
                <w:rFonts w:ascii="Arial" w:eastAsia="Calibri" w:hAnsi="Arial" w:cs="Arial"/>
                <w:color w:val="000000"/>
                <w:sz w:val="20"/>
                <w:szCs w:val="20"/>
                <w:lang w:eastAsia="es-AR"/>
              </w:rPr>
            </w:pPr>
          </w:p>
        </w:tc>
        <w:tc>
          <w:tcPr>
            <w:tcW w:w="2160" w:type="dxa"/>
            <w:tcBorders>
              <w:top w:val="nil"/>
              <w:left w:val="nil"/>
              <w:bottom w:val="nil"/>
              <w:right w:val="nil"/>
            </w:tcBorders>
          </w:tcPr>
          <w:p w:rsidR="00CF7E5B" w:rsidRPr="002D6C4B" w:rsidRDefault="00CF7E5B" w:rsidP="00BF58FC">
            <w:pPr>
              <w:autoSpaceDE w:val="0"/>
              <w:autoSpaceDN w:val="0"/>
              <w:adjustRightInd w:val="0"/>
              <w:spacing w:line="240" w:lineRule="auto"/>
              <w:jc w:val="right"/>
              <w:rPr>
                <w:rFonts w:ascii="Arial" w:eastAsia="Calibri" w:hAnsi="Arial" w:cs="Arial"/>
                <w:color w:val="000000"/>
                <w:sz w:val="20"/>
                <w:szCs w:val="20"/>
                <w:lang w:eastAsia="es-AR"/>
              </w:rPr>
            </w:pPr>
          </w:p>
        </w:tc>
      </w:tr>
      <w:tr w:rsidR="00CF7E5B" w:rsidRPr="002D6C4B" w:rsidTr="00BF58FC">
        <w:trPr>
          <w:trHeight w:val="406"/>
        </w:trPr>
        <w:tc>
          <w:tcPr>
            <w:tcW w:w="4786" w:type="dxa"/>
            <w:tcBorders>
              <w:top w:val="nil"/>
              <w:left w:val="nil"/>
              <w:bottom w:val="nil"/>
              <w:right w:val="nil"/>
            </w:tcBorders>
          </w:tcPr>
          <w:p w:rsidR="00CF7E5B" w:rsidRPr="002D6C4B" w:rsidRDefault="00CF7E5B" w:rsidP="00BF58FC">
            <w:pPr>
              <w:autoSpaceDE w:val="0"/>
              <w:autoSpaceDN w:val="0"/>
              <w:adjustRightInd w:val="0"/>
              <w:spacing w:line="240" w:lineRule="auto"/>
              <w:rPr>
                <w:rFonts w:ascii="Arial" w:eastAsia="Calibri" w:hAnsi="Arial" w:cs="Arial"/>
                <w:color w:val="000000"/>
                <w:sz w:val="20"/>
                <w:szCs w:val="20"/>
                <w:lang w:eastAsia="es-AR"/>
              </w:rPr>
            </w:pPr>
            <w:r w:rsidRPr="002D6C4B">
              <w:rPr>
                <w:rFonts w:ascii="Arial" w:eastAsia="Calibri" w:hAnsi="Arial" w:cs="Arial"/>
                <w:color w:val="000000"/>
                <w:sz w:val="20"/>
                <w:szCs w:val="20"/>
                <w:lang w:eastAsia="es-AR"/>
              </w:rPr>
              <w:t>Erogaciones Corrientes</w:t>
            </w:r>
          </w:p>
        </w:tc>
        <w:tc>
          <w:tcPr>
            <w:tcW w:w="2160" w:type="dxa"/>
            <w:tcBorders>
              <w:top w:val="nil"/>
              <w:left w:val="nil"/>
              <w:bottom w:val="nil"/>
              <w:right w:val="nil"/>
            </w:tcBorders>
          </w:tcPr>
          <w:p w:rsidR="00CF7E5B" w:rsidRPr="002D6C4B" w:rsidRDefault="00CF7E5B" w:rsidP="00BF58FC">
            <w:pPr>
              <w:autoSpaceDE w:val="0"/>
              <w:autoSpaceDN w:val="0"/>
              <w:adjustRightInd w:val="0"/>
              <w:spacing w:line="240" w:lineRule="auto"/>
              <w:jc w:val="right"/>
              <w:rPr>
                <w:rFonts w:ascii="Arial" w:eastAsia="Calibri" w:hAnsi="Arial" w:cs="Arial"/>
                <w:color w:val="000000"/>
                <w:sz w:val="20"/>
                <w:szCs w:val="20"/>
                <w:lang w:eastAsia="es-AR"/>
              </w:rPr>
            </w:pPr>
            <w:r w:rsidRPr="002D6C4B">
              <w:rPr>
                <w:rFonts w:ascii="Arial" w:eastAsia="Calibri" w:hAnsi="Arial" w:cs="Arial"/>
                <w:color w:val="000000"/>
                <w:sz w:val="20"/>
                <w:szCs w:val="20"/>
                <w:lang w:eastAsia="es-AR"/>
              </w:rPr>
              <w:t>$ 47.935.106,76</w:t>
            </w:r>
          </w:p>
        </w:tc>
      </w:tr>
      <w:tr w:rsidR="00CF7E5B" w:rsidRPr="002D6C4B" w:rsidTr="00BF58FC">
        <w:trPr>
          <w:trHeight w:val="406"/>
        </w:trPr>
        <w:tc>
          <w:tcPr>
            <w:tcW w:w="4786" w:type="dxa"/>
            <w:tcBorders>
              <w:top w:val="nil"/>
              <w:left w:val="nil"/>
              <w:bottom w:val="nil"/>
              <w:right w:val="nil"/>
            </w:tcBorders>
          </w:tcPr>
          <w:p w:rsidR="00CF7E5B" w:rsidRPr="002D6C4B" w:rsidRDefault="00CF7E5B" w:rsidP="00BF58FC">
            <w:pPr>
              <w:autoSpaceDE w:val="0"/>
              <w:autoSpaceDN w:val="0"/>
              <w:adjustRightInd w:val="0"/>
              <w:spacing w:line="240" w:lineRule="auto"/>
              <w:rPr>
                <w:rFonts w:ascii="Arial" w:eastAsia="Calibri" w:hAnsi="Arial" w:cs="Arial"/>
                <w:color w:val="000000"/>
                <w:sz w:val="20"/>
                <w:szCs w:val="20"/>
                <w:lang w:eastAsia="es-AR"/>
              </w:rPr>
            </w:pPr>
            <w:r w:rsidRPr="002D6C4B">
              <w:rPr>
                <w:rFonts w:ascii="Arial" w:eastAsia="Calibri" w:hAnsi="Arial" w:cs="Arial"/>
                <w:color w:val="000000"/>
                <w:sz w:val="20"/>
                <w:szCs w:val="20"/>
                <w:lang w:eastAsia="es-AR"/>
              </w:rPr>
              <w:t>Erogaciones de Capital</w:t>
            </w:r>
          </w:p>
        </w:tc>
        <w:tc>
          <w:tcPr>
            <w:tcW w:w="2160" w:type="dxa"/>
            <w:tcBorders>
              <w:top w:val="nil"/>
              <w:left w:val="nil"/>
              <w:bottom w:val="nil"/>
              <w:right w:val="nil"/>
            </w:tcBorders>
          </w:tcPr>
          <w:p w:rsidR="00CF7E5B" w:rsidRPr="002D6C4B" w:rsidRDefault="00CF7E5B" w:rsidP="00BF58FC">
            <w:pPr>
              <w:autoSpaceDE w:val="0"/>
              <w:autoSpaceDN w:val="0"/>
              <w:adjustRightInd w:val="0"/>
              <w:spacing w:line="240" w:lineRule="auto"/>
              <w:jc w:val="right"/>
              <w:rPr>
                <w:rFonts w:ascii="Arial" w:eastAsia="Calibri" w:hAnsi="Arial" w:cs="Arial"/>
                <w:color w:val="000000"/>
                <w:sz w:val="20"/>
                <w:szCs w:val="20"/>
                <w:lang w:eastAsia="es-AR"/>
              </w:rPr>
            </w:pPr>
            <w:r w:rsidRPr="002D6C4B">
              <w:rPr>
                <w:rFonts w:ascii="Arial" w:eastAsia="Calibri" w:hAnsi="Arial" w:cs="Arial"/>
                <w:color w:val="000000"/>
                <w:sz w:val="20"/>
                <w:szCs w:val="20"/>
                <w:lang w:eastAsia="es-AR"/>
              </w:rPr>
              <w:t>$ 18.072.404,24</w:t>
            </w:r>
          </w:p>
        </w:tc>
      </w:tr>
      <w:tr w:rsidR="00CF7E5B" w:rsidRPr="002D6C4B" w:rsidTr="00BF58FC">
        <w:trPr>
          <w:trHeight w:val="406"/>
        </w:trPr>
        <w:tc>
          <w:tcPr>
            <w:tcW w:w="4786" w:type="dxa"/>
            <w:tcBorders>
              <w:top w:val="nil"/>
              <w:left w:val="nil"/>
              <w:bottom w:val="nil"/>
              <w:right w:val="nil"/>
            </w:tcBorders>
          </w:tcPr>
          <w:p w:rsidR="00CF7E5B" w:rsidRPr="002D6C4B" w:rsidRDefault="00CF7E5B" w:rsidP="00BF58FC">
            <w:pPr>
              <w:autoSpaceDE w:val="0"/>
              <w:autoSpaceDN w:val="0"/>
              <w:adjustRightInd w:val="0"/>
              <w:spacing w:line="240" w:lineRule="auto"/>
              <w:rPr>
                <w:rFonts w:ascii="Arial" w:eastAsia="Calibri" w:hAnsi="Arial" w:cs="Arial"/>
                <w:color w:val="000000"/>
                <w:sz w:val="20"/>
                <w:szCs w:val="20"/>
                <w:lang w:eastAsia="es-AR"/>
              </w:rPr>
            </w:pPr>
            <w:r w:rsidRPr="002D6C4B">
              <w:rPr>
                <w:rFonts w:ascii="Arial" w:eastAsia="Calibri" w:hAnsi="Arial" w:cs="Arial"/>
                <w:color w:val="000000"/>
                <w:sz w:val="20"/>
                <w:szCs w:val="20"/>
                <w:lang w:eastAsia="es-AR"/>
              </w:rPr>
              <w:t>Recursos Municipales</w:t>
            </w:r>
          </w:p>
        </w:tc>
        <w:tc>
          <w:tcPr>
            <w:tcW w:w="2160" w:type="dxa"/>
            <w:tcBorders>
              <w:top w:val="nil"/>
              <w:left w:val="nil"/>
              <w:bottom w:val="nil"/>
              <w:right w:val="nil"/>
            </w:tcBorders>
          </w:tcPr>
          <w:p w:rsidR="00CF7E5B" w:rsidRPr="002D6C4B" w:rsidRDefault="00CF7E5B" w:rsidP="00BF58FC">
            <w:pPr>
              <w:autoSpaceDE w:val="0"/>
              <w:autoSpaceDN w:val="0"/>
              <w:adjustRightInd w:val="0"/>
              <w:spacing w:line="240" w:lineRule="auto"/>
              <w:jc w:val="right"/>
              <w:rPr>
                <w:rFonts w:ascii="Arial" w:eastAsia="Calibri" w:hAnsi="Arial" w:cs="Arial"/>
                <w:b/>
                <w:bCs/>
                <w:color w:val="000000"/>
                <w:sz w:val="20"/>
                <w:szCs w:val="20"/>
                <w:lang w:eastAsia="es-AR"/>
              </w:rPr>
            </w:pPr>
            <w:r w:rsidRPr="002D6C4B">
              <w:rPr>
                <w:rFonts w:ascii="Arial" w:eastAsia="Calibri" w:hAnsi="Arial" w:cs="Arial"/>
                <w:b/>
                <w:bCs/>
                <w:color w:val="000000"/>
                <w:sz w:val="20"/>
                <w:szCs w:val="20"/>
                <w:lang w:eastAsia="es-AR"/>
              </w:rPr>
              <w:t>$ 66.007.511,00</w:t>
            </w:r>
          </w:p>
        </w:tc>
      </w:tr>
    </w:tbl>
    <w:p w:rsidR="00CF7E5B" w:rsidRPr="002D6C4B" w:rsidRDefault="00CF7E5B" w:rsidP="00CF7E5B">
      <w:pPr>
        <w:tabs>
          <w:tab w:val="left" w:pos="1935"/>
        </w:tabs>
        <w:spacing w:line="240" w:lineRule="auto"/>
        <w:jc w:val="both"/>
        <w:rPr>
          <w:rFonts w:ascii="Arial" w:hAnsi="Arial" w:cs="Arial"/>
          <w:color w:val="000000"/>
          <w:sz w:val="20"/>
          <w:szCs w:val="20"/>
        </w:rPr>
      </w:pPr>
    </w:p>
    <w:p w:rsidR="00CF7E5B" w:rsidRPr="002D6C4B" w:rsidRDefault="00CF7E5B" w:rsidP="00CF7E5B">
      <w:pPr>
        <w:spacing w:line="240" w:lineRule="auto"/>
        <w:ind w:left="1276" w:hanging="1276"/>
        <w:jc w:val="both"/>
        <w:rPr>
          <w:rFonts w:ascii="Arial" w:hAnsi="Arial" w:cs="Arial"/>
          <w:color w:val="000000"/>
          <w:sz w:val="20"/>
          <w:szCs w:val="20"/>
        </w:rPr>
      </w:pPr>
      <w:r w:rsidRPr="002D6C4B">
        <w:rPr>
          <w:rFonts w:ascii="Arial" w:hAnsi="Arial" w:cs="Arial"/>
          <w:b/>
          <w:color w:val="000000"/>
          <w:sz w:val="20"/>
          <w:szCs w:val="20"/>
        </w:rPr>
        <w:lastRenderedPageBreak/>
        <w:t>ART. 4º.-</w:t>
      </w:r>
      <w:r w:rsidRPr="002D6C4B">
        <w:rPr>
          <w:rFonts w:ascii="Arial" w:hAnsi="Arial" w:cs="Arial"/>
          <w:color w:val="000000"/>
          <w:sz w:val="20"/>
          <w:szCs w:val="20"/>
        </w:rPr>
        <w:tab/>
        <w:t>Las erogaciones condicionadas a fuentes de financiamiento especial, quedan supeditadas al ingreso de los fondos específicos destinados a su financiamiento, las que deberán ajustarse en cuanto a monto y oportunidad a los créditos asignados y a las cifras efectivamente percibidas.</w:t>
      </w:r>
    </w:p>
    <w:p w:rsidR="00CF7E5B" w:rsidRPr="002D6C4B" w:rsidRDefault="00CF7E5B" w:rsidP="00CF7E5B">
      <w:pPr>
        <w:spacing w:line="240" w:lineRule="auto"/>
        <w:ind w:left="1276" w:hanging="1276"/>
        <w:jc w:val="both"/>
        <w:rPr>
          <w:rFonts w:ascii="Arial" w:hAnsi="Arial" w:cs="Arial"/>
          <w:color w:val="000000"/>
          <w:sz w:val="20"/>
          <w:szCs w:val="20"/>
        </w:rPr>
      </w:pPr>
      <w:r w:rsidRPr="002D6C4B">
        <w:rPr>
          <w:rFonts w:ascii="Arial" w:hAnsi="Arial" w:cs="Arial"/>
          <w:b/>
          <w:color w:val="000000"/>
          <w:sz w:val="20"/>
          <w:szCs w:val="20"/>
        </w:rPr>
        <w:t>ART. 5º.-</w:t>
      </w:r>
      <w:r w:rsidRPr="002D6C4B">
        <w:rPr>
          <w:rFonts w:ascii="Arial" w:hAnsi="Arial" w:cs="Arial"/>
          <w:color w:val="000000"/>
          <w:sz w:val="20"/>
          <w:szCs w:val="20"/>
        </w:rPr>
        <w:tab/>
        <w:t xml:space="preserve">Autorizar al Ejecutivo Municipal para introducir incrementos de erogaciones en el presupuesto de la Administración Municipal, en la medida que los mismos sean financiados con incrementos de recursos. </w:t>
      </w:r>
    </w:p>
    <w:p w:rsidR="00CF7E5B" w:rsidRPr="002D6C4B" w:rsidRDefault="00CF7E5B" w:rsidP="00CF7E5B">
      <w:pPr>
        <w:spacing w:line="240" w:lineRule="auto"/>
        <w:ind w:left="1276" w:hanging="1276"/>
        <w:jc w:val="both"/>
        <w:rPr>
          <w:rFonts w:ascii="Arial" w:hAnsi="Arial" w:cs="Arial"/>
          <w:color w:val="000000"/>
          <w:sz w:val="20"/>
          <w:szCs w:val="20"/>
        </w:rPr>
      </w:pPr>
      <w:r w:rsidRPr="002D6C4B">
        <w:rPr>
          <w:rFonts w:ascii="Arial" w:hAnsi="Arial" w:cs="Arial"/>
          <w:b/>
          <w:color w:val="000000"/>
          <w:sz w:val="20"/>
          <w:szCs w:val="20"/>
        </w:rPr>
        <w:t>ART. 6º.-</w:t>
      </w:r>
      <w:r w:rsidRPr="002D6C4B">
        <w:rPr>
          <w:rFonts w:ascii="Arial" w:hAnsi="Arial" w:cs="Arial"/>
          <w:color w:val="000000"/>
          <w:sz w:val="20"/>
          <w:szCs w:val="20"/>
        </w:rPr>
        <w:tab/>
        <w:t>El Ejecutivo Municipal podrá disponer las reestructuraciones o modificaciones en las partidas presupuestarias, en la medida que las mismas no disminuyan la proporción de gastos de capital determinada en el Artículo 1°.</w:t>
      </w:r>
    </w:p>
    <w:p w:rsidR="00CF7E5B" w:rsidRPr="002D6C4B" w:rsidRDefault="00CF7E5B" w:rsidP="00CF7E5B">
      <w:pPr>
        <w:spacing w:line="240" w:lineRule="auto"/>
        <w:ind w:left="1276" w:hanging="1276"/>
        <w:jc w:val="both"/>
        <w:rPr>
          <w:rFonts w:ascii="Arial" w:hAnsi="Arial" w:cs="Arial"/>
          <w:color w:val="000000"/>
          <w:sz w:val="20"/>
          <w:szCs w:val="20"/>
        </w:rPr>
      </w:pPr>
      <w:r w:rsidRPr="002D6C4B">
        <w:rPr>
          <w:rFonts w:ascii="Arial" w:hAnsi="Arial" w:cs="Arial"/>
          <w:b/>
          <w:color w:val="000000"/>
          <w:sz w:val="20"/>
          <w:szCs w:val="20"/>
        </w:rPr>
        <w:t>ART. 7º.-</w:t>
      </w:r>
      <w:r w:rsidRPr="002D6C4B">
        <w:rPr>
          <w:rFonts w:ascii="Arial" w:hAnsi="Arial" w:cs="Arial"/>
          <w:color w:val="000000"/>
          <w:sz w:val="20"/>
          <w:szCs w:val="20"/>
        </w:rPr>
        <w:tab/>
        <w:t xml:space="preserve">Establecer el número de cargos de la Administración Pública Municipal en SIETE (7) para la Planta Jerárquica, en </w:t>
      </w:r>
      <w:r w:rsidRPr="002D6C4B">
        <w:rPr>
          <w:rFonts w:ascii="Arial" w:hAnsi="Arial" w:cs="Arial"/>
          <w:sz w:val="20"/>
          <w:szCs w:val="20"/>
        </w:rPr>
        <w:t>CATORCE (14)</w:t>
      </w:r>
      <w:r w:rsidRPr="002D6C4B">
        <w:rPr>
          <w:rFonts w:ascii="Arial" w:hAnsi="Arial" w:cs="Arial"/>
          <w:color w:val="000000"/>
          <w:sz w:val="20"/>
          <w:szCs w:val="20"/>
        </w:rPr>
        <w:t xml:space="preserve"> el número de cargos para la Planta Permanente y en VEINTE (20) para la Planta Temporaria del Municipio, El Intendente Municipal no podrá aumentar el número total de cargos; pero si podrá disponer modificaciones en la distribución de los mismos. Se autorizan los incrementos en las partidas de personal por adhesión a normas provinciales que establezcan incrementos de sueldos o por cumplimiento de lo establecido en el Estatuto del Empleado respectivo y demás leyes u ordenanzas pertinentes.</w:t>
      </w:r>
    </w:p>
    <w:p w:rsidR="00CF7E5B" w:rsidRPr="002D6C4B" w:rsidRDefault="00CF7E5B" w:rsidP="00CF7E5B">
      <w:pPr>
        <w:spacing w:line="240" w:lineRule="auto"/>
        <w:ind w:left="1276" w:hanging="1276"/>
        <w:jc w:val="both"/>
        <w:rPr>
          <w:rFonts w:ascii="Arial" w:hAnsi="Arial" w:cs="Arial"/>
          <w:color w:val="000000"/>
          <w:sz w:val="20"/>
          <w:szCs w:val="20"/>
        </w:rPr>
      </w:pPr>
      <w:r w:rsidRPr="002D6C4B">
        <w:rPr>
          <w:rFonts w:ascii="Arial" w:hAnsi="Arial" w:cs="Arial"/>
          <w:b/>
          <w:color w:val="000000"/>
          <w:sz w:val="20"/>
          <w:szCs w:val="20"/>
        </w:rPr>
        <w:t>ART. 8º.-</w:t>
      </w:r>
      <w:r w:rsidRPr="002D6C4B">
        <w:rPr>
          <w:rFonts w:ascii="Arial" w:hAnsi="Arial" w:cs="Arial"/>
          <w:color w:val="000000"/>
          <w:sz w:val="20"/>
          <w:szCs w:val="20"/>
        </w:rPr>
        <w:tab/>
        <w:t>El Personal de la Planta Permanente de la Administración Pública Municipal no podrá ser designado o contratado con imputación a partidas de personal temporario, salvo renuncia a su cargo en la planta antes citada.</w:t>
      </w:r>
    </w:p>
    <w:p w:rsidR="00CF7E5B" w:rsidRPr="002D6C4B" w:rsidRDefault="00CF7E5B" w:rsidP="00CF7E5B">
      <w:pPr>
        <w:spacing w:line="240" w:lineRule="auto"/>
        <w:ind w:left="1276" w:hanging="1276"/>
        <w:jc w:val="both"/>
        <w:rPr>
          <w:rFonts w:ascii="Arial" w:hAnsi="Arial" w:cs="Arial"/>
          <w:color w:val="000000"/>
          <w:sz w:val="20"/>
          <w:szCs w:val="20"/>
        </w:rPr>
      </w:pPr>
      <w:r w:rsidRPr="002D6C4B">
        <w:rPr>
          <w:rFonts w:ascii="Arial" w:hAnsi="Arial" w:cs="Arial"/>
          <w:b/>
          <w:color w:val="000000"/>
          <w:sz w:val="20"/>
          <w:szCs w:val="20"/>
        </w:rPr>
        <w:t>ART. 9º.-</w:t>
      </w:r>
      <w:r w:rsidRPr="002D6C4B">
        <w:rPr>
          <w:rFonts w:ascii="Arial" w:hAnsi="Arial" w:cs="Arial"/>
          <w:color w:val="000000"/>
          <w:sz w:val="20"/>
          <w:szCs w:val="20"/>
        </w:rPr>
        <w:tab/>
        <w:t>Autorizase al Intendente Municipal a modificar el presupuesto general, incorporando las partidas especificas necesarias o incrementando las ya previstas, cuando deba realizar erogaciones como consecuencia de la aplicación de Leyes, Decretos, Convenios y Acuerdos con el Gobierno Nacional o Provincial. Dicha autorización estará limitada por los aportes que a tales efectos disponga el Gobierno Nacional o Provincial. Se encuentran comprendidas en lo dispuesto en el presente Artículo las partidas con destino a obras municipales u obras delegadas provinciales o nacionales financiadas con aportes del Gobierno Nacional o Provincial.</w:t>
      </w:r>
    </w:p>
    <w:p w:rsidR="00CF7E5B" w:rsidRPr="002D6C4B" w:rsidRDefault="00CF7E5B" w:rsidP="00CF7E5B">
      <w:pPr>
        <w:spacing w:line="240" w:lineRule="auto"/>
        <w:ind w:left="1276" w:hanging="1276"/>
        <w:jc w:val="both"/>
        <w:rPr>
          <w:rFonts w:ascii="Arial" w:hAnsi="Arial" w:cs="Arial"/>
          <w:color w:val="000000"/>
          <w:sz w:val="20"/>
          <w:szCs w:val="20"/>
        </w:rPr>
      </w:pPr>
      <w:r w:rsidRPr="002D6C4B">
        <w:rPr>
          <w:rFonts w:ascii="Arial" w:hAnsi="Arial" w:cs="Arial"/>
          <w:b/>
          <w:color w:val="000000"/>
          <w:sz w:val="20"/>
          <w:szCs w:val="20"/>
        </w:rPr>
        <w:t>ART. 10º.-</w:t>
      </w:r>
      <w:r w:rsidRPr="002D6C4B">
        <w:rPr>
          <w:rFonts w:ascii="Arial" w:hAnsi="Arial" w:cs="Arial"/>
          <w:color w:val="000000"/>
          <w:sz w:val="20"/>
          <w:szCs w:val="20"/>
        </w:rPr>
        <w:tab/>
        <w:t>Facultar al Intendente Municipal a colocar transitoriamente las disponibilidades en efectivo del Tesoro Municipal, en operaciones bancarias remuneradas o en otras alternativas financieras de inversión. El Intendente Municipal deberá informar al Honorable Concejo Deliberante en forma trimestral sobre estas colocaciones</w:t>
      </w:r>
    </w:p>
    <w:p w:rsidR="00CF7E5B" w:rsidRPr="002D6C4B" w:rsidRDefault="00CF7E5B" w:rsidP="00CF7E5B">
      <w:pPr>
        <w:spacing w:line="240" w:lineRule="auto"/>
        <w:ind w:left="1276" w:right="-143" w:hanging="1276"/>
        <w:jc w:val="both"/>
        <w:rPr>
          <w:rFonts w:ascii="Arial" w:hAnsi="Arial" w:cs="Arial"/>
          <w:b/>
          <w:i/>
          <w:shadow/>
          <w:color w:val="000000"/>
          <w:sz w:val="20"/>
          <w:szCs w:val="20"/>
        </w:rPr>
      </w:pPr>
      <w:r w:rsidRPr="002D6C4B">
        <w:rPr>
          <w:rFonts w:ascii="Arial" w:hAnsi="Arial" w:cs="Arial"/>
          <w:b/>
          <w:color w:val="000000"/>
          <w:sz w:val="20"/>
          <w:szCs w:val="20"/>
        </w:rPr>
        <w:t>ART. 11°.-</w:t>
      </w:r>
      <w:r w:rsidRPr="002D6C4B">
        <w:rPr>
          <w:rFonts w:ascii="Arial" w:hAnsi="Arial" w:cs="Arial"/>
          <w:color w:val="000000"/>
          <w:sz w:val="20"/>
          <w:szCs w:val="20"/>
        </w:rPr>
        <w:tab/>
        <w:t>Comuníquese, publíquese, dese copia al Registro Oficial y archívese.-</w:t>
      </w:r>
    </w:p>
    <w:p w:rsidR="00CF7E5B" w:rsidRDefault="00CF7E5B" w:rsidP="00CF7E5B">
      <w:pPr>
        <w:spacing w:line="240" w:lineRule="auto"/>
        <w:jc w:val="right"/>
        <w:rPr>
          <w:rFonts w:ascii="Arial" w:hAnsi="Arial" w:cs="Arial"/>
          <w:b/>
          <w:sz w:val="20"/>
          <w:szCs w:val="20"/>
          <w:u w:val="single"/>
        </w:rPr>
      </w:pPr>
    </w:p>
    <w:p w:rsidR="00CF7E5B" w:rsidRDefault="00CF7E5B" w:rsidP="00CF7E5B">
      <w:pPr>
        <w:spacing w:line="240" w:lineRule="auto"/>
        <w:jc w:val="right"/>
        <w:rPr>
          <w:rFonts w:ascii="Arial" w:hAnsi="Arial" w:cs="Arial"/>
          <w:b/>
          <w:sz w:val="20"/>
          <w:szCs w:val="20"/>
          <w:u w:val="single"/>
        </w:rPr>
      </w:pPr>
    </w:p>
    <w:p w:rsidR="00CF7E5B" w:rsidRDefault="00CF7E5B" w:rsidP="00CF7E5B">
      <w:pPr>
        <w:spacing w:line="240" w:lineRule="auto"/>
        <w:jc w:val="right"/>
        <w:rPr>
          <w:rFonts w:ascii="Arial" w:hAnsi="Arial" w:cs="Arial"/>
          <w:b/>
          <w:sz w:val="20"/>
          <w:szCs w:val="20"/>
          <w:u w:val="single"/>
        </w:rPr>
      </w:pPr>
    </w:p>
    <w:p w:rsidR="00CF7E5B" w:rsidRDefault="00CF7E5B" w:rsidP="00CF7E5B">
      <w:pPr>
        <w:spacing w:line="240" w:lineRule="auto"/>
        <w:jc w:val="right"/>
        <w:rPr>
          <w:rFonts w:ascii="Arial" w:hAnsi="Arial" w:cs="Arial"/>
          <w:b/>
          <w:sz w:val="20"/>
          <w:szCs w:val="20"/>
          <w:u w:val="single"/>
        </w:rPr>
      </w:pPr>
    </w:p>
    <w:p w:rsidR="00CF7E5B" w:rsidRDefault="00CF7E5B" w:rsidP="00CF7E5B">
      <w:pPr>
        <w:spacing w:line="240" w:lineRule="auto"/>
        <w:jc w:val="right"/>
        <w:rPr>
          <w:rFonts w:ascii="Arial" w:hAnsi="Arial" w:cs="Arial"/>
          <w:b/>
          <w:sz w:val="20"/>
          <w:szCs w:val="20"/>
          <w:u w:val="single"/>
        </w:rPr>
      </w:pPr>
    </w:p>
    <w:p w:rsidR="00CF7E5B" w:rsidRDefault="00CF7E5B" w:rsidP="00CF7E5B">
      <w:pPr>
        <w:spacing w:line="240" w:lineRule="auto"/>
        <w:jc w:val="right"/>
        <w:rPr>
          <w:rFonts w:ascii="Arial" w:hAnsi="Arial" w:cs="Arial"/>
          <w:b/>
          <w:sz w:val="20"/>
          <w:szCs w:val="20"/>
          <w:u w:val="single"/>
        </w:rPr>
      </w:pPr>
    </w:p>
    <w:p w:rsidR="00CF7E5B" w:rsidRDefault="00CF7E5B" w:rsidP="00CF7E5B">
      <w:pPr>
        <w:spacing w:line="240" w:lineRule="auto"/>
        <w:jc w:val="right"/>
        <w:rPr>
          <w:rFonts w:ascii="Arial" w:hAnsi="Arial" w:cs="Arial"/>
          <w:b/>
          <w:sz w:val="20"/>
          <w:szCs w:val="20"/>
          <w:u w:val="single"/>
        </w:rPr>
      </w:pPr>
    </w:p>
    <w:p w:rsidR="00CF7E5B" w:rsidRDefault="00CF7E5B" w:rsidP="00CF7E5B">
      <w:pPr>
        <w:spacing w:line="240" w:lineRule="auto"/>
        <w:jc w:val="right"/>
        <w:rPr>
          <w:rFonts w:ascii="Arial" w:hAnsi="Arial" w:cs="Arial"/>
          <w:b/>
          <w:sz w:val="20"/>
          <w:szCs w:val="20"/>
          <w:u w:val="single"/>
        </w:rPr>
      </w:pPr>
    </w:p>
    <w:p w:rsidR="00CF7E5B" w:rsidRDefault="00CF7E5B" w:rsidP="00CF7E5B">
      <w:pPr>
        <w:spacing w:line="240" w:lineRule="auto"/>
        <w:jc w:val="right"/>
        <w:rPr>
          <w:rFonts w:ascii="Arial" w:hAnsi="Arial" w:cs="Arial"/>
          <w:b/>
          <w:sz w:val="20"/>
          <w:szCs w:val="20"/>
          <w:u w:val="single"/>
        </w:rPr>
      </w:pPr>
    </w:p>
    <w:p w:rsidR="00CF7E5B" w:rsidRDefault="00CF7E5B" w:rsidP="00CF7E5B">
      <w:pPr>
        <w:spacing w:line="240" w:lineRule="auto"/>
        <w:jc w:val="right"/>
        <w:rPr>
          <w:rFonts w:ascii="Arial" w:hAnsi="Arial" w:cs="Arial"/>
          <w:b/>
          <w:sz w:val="20"/>
          <w:szCs w:val="20"/>
          <w:u w:val="single"/>
        </w:rPr>
      </w:pPr>
    </w:p>
    <w:p w:rsidR="00CF7E5B" w:rsidRDefault="00CF7E5B" w:rsidP="00CF7E5B">
      <w:pPr>
        <w:spacing w:line="240" w:lineRule="auto"/>
        <w:jc w:val="right"/>
        <w:rPr>
          <w:rFonts w:ascii="Arial" w:hAnsi="Arial" w:cs="Arial"/>
          <w:b/>
          <w:sz w:val="20"/>
          <w:szCs w:val="20"/>
          <w:u w:val="single"/>
        </w:rPr>
      </w:pPr>
    </w:p>
    <w:p w:rsidR="00CF7E5B" w:rsidRPr="002D6C4B" w:rsidRDefault="00CF7E5B" w:rsidP="00CF7E5B">
      <w:pPr>
        <w:spacing w:line="240" w:lineRule="auto"/>
        <w:jc w:val="right"/>
        <w:rPr>
          <w:rFonts w:ascii="Arial" w:hAnsi="Arial" w:cs="Arial"/>
          <w:b/>
          <w:sz w:val="20"/>
          <w:szCs w:val="20"/>
          <w:u w:val="single"/>
        </w:rPr>
      </w:pPr>
      <w:r w:rsidRPr="002D6C4B">
        <w:rPr>
          <w:rFonts w:ascii="Arial" w:hAnsi="Arial" w:cs="Arial"/>
          <w:b/>
          <w:sz w:val="20"/>
          <w:szCs w:val="20"/>
          <w:u w:val="single"/>
        </w:rPr>
        <w:lastRenderedPageBreak/>
        <w:t xml:space="preserve">DECRETO N° </w:t>
      </w:r>
      <w:r w:rsidRPr="002D6C4B">
        <w:rPr>
          <w:rFonts w:ascii="Arial" w:hAnsi="Arial" w:cs="Arial"/>
          <w:b/>
          <w:color w:val="000000" w:themeColor="text1"/>
          <w:sz w:val="20"/>
          <w:szCs w:val="20"/>
          <w:u w:val="single"/>
        </w:rPr>
        <w:t>26</w:t>
      </w:r>
      <w:r w:rsidRPr="002D6C4B">
        <w:rPr>
          <w:rFonts w:ascii="Arial" w:hAnsi="Arial" w:cs="Arial"/>
          <w:b/>
          <w:sz w:val="20"/>
          <w:szCs w:val="20"/>
          <w:u w:val="single"/>
        </w:rPr>
        <w:t>- IMPF/2019</w:t>
      </w:r>
    </w:p>
    <w:p w:rsidR="00CF7E5B" w:rsidRPr="002D6C4B" w:rsidRDefault="00CF7E5B" w:rsidP="00CF7E5B">
      <w:pPr>
        <w:spacing w:line="240" w:lineRule="auto"/>
        <w:jc w:val="right"/>
        <w:rPr>
          <w:rFonts w:ascii="Arial" w:hAnsi="Arial" w:cs="Arial"/>
          <w:sz w:val="20"/>
          <w:szCs w:val="20"/>
        </w:rPr>
      </w:pPr>
      <w:r w:rsidRPr="002D6C4B">
        <w:rPr>
          <w:rFonts w:ascii="Arial" w:hAnsi="Arial" w:cs="Arial"/>
          <w:sz w:val="20"/>
          <w:szCs w:val="20"/>
        </w:rPr>
        <w:t xml:space="preserve">Potrero de los </w:t>
      </w:r>
      <w:proofErr w:type="spellStart"/>
      <w:r w:rsidRPr="002D6C4B">
        <w:rPr>
          <w:rFonts w:ascii="Arial" w:hAnsi="Arial" w:cs="Arial"/>
          <w:sz w:val="20"/>
          <w:szCs w:val="20"/>
        </w:rPr>
        <w:t>Funes</w:t>
      </w:r>
      <w:proofErr w:type="spellEnd"/>
      <w:r w:rsidRPr="002D6C4B">
        <w:rPr>
          <w:rFonts w:ascii="Arial" w:hAnsi="Arial" w:cs="Arial"/>
          <w:sz w:val="20"/>
          <w:szCs w:val="20"/>
        </w:rPr>
        <w:t>, 22 de Noviembre de 2019</w:t>
      </w:r>
    </w:p>
    <w:p w:rsidR="00CF7E5B" w:rsidRPr="002D6C4B" w:rsidRDefault="00CF7E5B" w:rsidP="00CF7E5B">
      <w:pPr>
        <w:spacing w:line="240" w:lineRule="auto"/>
        <w:jc w:val="both"/>
        <w:rPr>
          <w:rFonts w:ascii="Arial" w:hAnsi="Arial" w:cs="Arial"/>
          <w:b/>
          <w:sz w:val="20"/>
          <w:szCs w:val="20"/>
        </w:rPr>
      </w:pPr>
      <w:r w:rsidRPr="002D6C4B">
        <w:rPr>
          <w:rFonts w:ascii="Arial" w:hAnsi="Arial" w:cs="Arial"/>
          <w:b/>
          <w:sz w:val="20"/>
          <w:szCs w:val="20"/>
        </w:rPr>
        <w:t>VISTO:</w:t>
      </w:r>
    </w:p>
    <w:p w:rsidR="00CF7E5B" w:rsidRPr="002D6C4B" w:rsidRDefault="00CF7E5B" w:rsidP="00CF7E5B">
      <w:pPr>
        <w:spacing w:line="240" w:lineRule="auto"/>
        <w:ind w:firstLine="1985"/>
        <w:jc w:val="both"/>
        <w:rPr>
          <w:rFonts w:ascii="Arial" w:hAnsi="Arial" w:cs="Arial"/>
          <w:sz w:val="20"/>
          <w:szCs w:val="20"/>
        </w:rPr>
      </w:pPr>
      <w:r w:rsidRPr="002D6C4B">
        <w:rPr>
          <w:rFonts w:ascii="Arial" w:hAnsi="Arial" w:cs="Arial"/>
          <w:sz w:val="20"/>
          <w:szCs w:val="20"/>
        </w:rPr>
        <w:t>La Ordenanza Nº 50- HCDPF-2019; y</w:t>
      </w:r>
    </w:p>
    <w:p w:rsidR="00CF7E5B" w:rsidRPr="002D6C4B" w:rsidRDefault="00CF7E5B" w:rsidP="00CF7E5B">
      <w:pPr>
        <w:spacing w:line="240" w:lineRule="auto"/>
        <w:jc w:val="both"/>
        <w:rPr>
          <w:rFonts w:ascii="Arial" w:hAnsi="Arial" w:cs="Arial"/>
          <w:b/>
          <w:sz w:val="20"/>
          <w:szCs w:val="20"/>
        </w:rPr>
      </w:pPr>
      <w:r w:rsidRPr="002D6C4B">
        <w:rPr>
          <w:rFonts w:ascii="Arial" w:hAnsi="Arial" w:cs="Arial"/>
          <w:b/>
          <w:sz w:val="20"/>
          <w:szCs w:val="20"/>
        </w:rPr>
        <w:t>CONSIDERANDO:</w:t>
      </w:r>
    </w:p>
    <w:p w:rsidR="00CF7E5B" w:rsidRPr="002D6C4B" w:rsidRDefault="00CF7E5B" w:rsidP="00CF7E5B">
      <w:pPr>
        <w:spacing w:line="240" w:lineRule="auto"/>
        <w:ind w:firstLine="2268"/>
        <w:jc w:val="both"/>
        <w:rPr>
          <w:rFonts w:ascii="Arial" w:hAnsi="Arial" w:cs="Arial"/>
          <w:sz w:val="20"/>
          <w:szCs w:val="20"/>
        </w:rPr>
      </w:pPr>
      <w:r w:rsidRPr="002D6C4B">
        <w:rPr>
          <w:rFonts w:ascii="Arial" w:hAnsi="Arial" w:cs="Arial"/>
          <w:sz w:val="20"/>
          <w:szCs w:val="20"/>
        </w:rPr>
        <w:t xml:space="preserve">Que la mencionada norma fija el total de las erogaciones y recursos del Presupuesto General de la Administración de la Municipalidad de Potrero de los </w:t>
      </w:r>
      <w:proofErr w:type="spellStart"/>
      <w:r w:rsidRPr="002D6C4B">
        <w:rPr>
          <w:rFonts w:ascii="Arial" w:hAnsi="Arial" w:cs="Arial"/>
          <w:sz w:val="20"/>
          <w:szCs w:val="20"/>
        </w:rPr>
        <w:t>Funes</w:t>
      </w:r>
      <w:proofErr w:type="spellEnd"/>
      <w:r w:rsidRPr="002D6C4B">
        <w:rPr>
          <w:rFonts w:ascii="Arial" w:hAnsi="Arial" w:cs="Arial"/>
          <w:sz w:val="20"/>
          <w:szCs w:val="20"/>
        </w:rPr>
        <w:t xml:space="preserve"> para el Ejercicio 2020;</w:t>
      </w:r>
    </w:p>
    <w:p w:rsidR="00CF7E5B" w:rsidRPr="002D6C4B" w:rsidRDefault="00CF7E5B" w:rsidP="00CF7E5B">
      <w:pPr>
        <w:spacing w:line="240" w:lineRule="auto"/>
        <w:ind w:firstLine="2268"/>
        <w:jc w:val="both"/>
        <w:rPr>
          <w:rFonts w:ascii="Arial" w:hAnsi="Arial" w:cs="Arial"/>
          <w:sz w:val="20"/>
          <w:szCs w:val="20"/>
        </w:rPr>
      </w:pPr>
      <w:r w:rsidRPr="002D6C4B">
        <w:rPr>
          <w:rFonts w:ascii="Arial" w:hAnsi="Arial" w:cs="Arial"/>
          <w:sz w:val="20"/>
          <w:szCs w:val="20"/>
        </w:rPr>
        <w:t xml:space="preserve">Que es atribución del Intendente promulgar las Ordenanzas sancionadas por el Honorable Concejo Deliberante conforme  lo establece el inciso 1 </w:t>
      </w:r>
      <w:proofErr w:type="gramStart"/>
      <w:r w:rsidRPr="002D6C4B">
        <w:rPr>
          <w:rFonts w:ascii="Arial" w:hAnsi="Arial" w:cs="Arial"/>
          <w:sz w:val="20"/>
          <w:szCs w:val="20"/>
        </w:rPr>
        <w:t>Articulo</w:t>
      </w:r>
      <w:proofErr w:type="gramEnd"/>
      <w:r w:rsidRPr="002D6C4B">
        <w:rPr>
          <w:rFonts w:ascii="Arial" w:hAnsi="Arial" w:cs="Arial"/>
          <w:sz w:val="20"/>
          <w:szCs w:val="20"/>
        </w:rPr>
        <w:t xml:space="preserve"> 261 de la Constitución Provincial;</w:t>
      </w:r>
    </w:p>
    <w:p w:rsidR="00CF7E5B" w:rsidRPr="002D6C4B" w:rsidRDefault="00CF7E5B" w:rsidP="00CF7E5B">
      <w:pPr>
        <w:spacing w:line="240" w:lineRule="auto"/>
        <w:ind w:firstLine="2268"/>
        <w:jc w:val="both"/>
        <w:rPr>
          <w:rFonts w:ascii="Arial" w:hAnsi="Arial" w:cs="Arial"/>
          <w:sz w:val="20"/>
          <w:szCs w:val="20"/>
        </w:rPr>
      </w:pPr>
      <w:r w:rsidRPr="002D6C4B">
        <w:rPr>
          <w:rFonts w:ascii="Arial" w:hAnsi="Arial" w:cs="Arial"/>
          <w:sz w:val="20"/>
          <w:szCs w:val="20"/>
        </w:rPr>
        <w:t xml:space="preserve">Por ello, </w:t>
      </w:r>
    </w:p>
    <w:p w:rsidR="00CF7E5B" w:rsidRPr="002D6C4B" w:rsidRDefault="00CF7E5B" w:rsidP="00CF7E5B">
      <w:pPr>
        <w:spacing w:line="240" w:lineRule="auto"/>
        <w:ind w:right="-84"/>
        <w:jc w:val="center"/>
        <w:rPr>
          <w:rFonts w:ascii="Arial" w:hAnsi="Arial" w:cs="Arial"/>
          <w:b/>
          <w:sz w:val="20"/>
          <w:szCs w:val="20"/>
        </w:rPr>
      </w:pPr>
      <w:r w:rsidRPr="002D6C4B">
        <w:rPr>
          <w:rFonts w:ascii="Arial" w:hAnsi="Arial" w:cs="Arial"/>
          <w:b/>
          <w:sz w:val="20"/>
          <w:szCs w:val="20"/>
        </w:rPr>
        <w:t>EL INTENDENTE MUNICIPAL DE POTRERO DE LOS FUNES</w:t>
      </w:r>
    </w:p>
    <w:p w:rsidR="00CF7E5B" w:rsidRPr="002D6C4B" w:rsidRDefault="00CF7E5B" w:rsidP="00CF7E5B">
      <w:pPr>
        <w:spacing w:line="240" w:lineRule="auto"/>
        <w:ind w:right="-84"/>
        <w:jc w:val="center"/>
        <w:rPr>
          <w:rFonts w:ascii="Arial" w:hAnsi="Arial" w:cs="Arial"/>
          <w:b/>
          <w:sz w:val="20"/>
          <w:szCs w:val="20"/>
        </w:rPr>
      </w:pPr>
      <w:r w:rsidRPr="002D6C4B">
        <w:rPr>
          <w:rFonts w:ascii="Arial" w:hAnsi="Arial" w:cs="Arial"/>
          <w:b/>
          <w:sz w:val="20"/>
          <w:szCs w:val="20"/>
        </w:rPr>
        <w:t xml:space="preserve">EN USO DE SUS ATRIBUCIONES, </w:t>
      </w:r>
    </w:p>
    <w:p w:rsidR="00CF7E5B" w:rsidRPr="002D6C4B" w:rsidRDefault="00CF7E5B" w:rsidP="00CF7E5B">
      <w:pPr>
        <w:spacing w:line="240" w:lineRule="auto"/>
        <w:ind w:right="-84"/>
        <w:jc w:val="center"/>
        <w:rPr>
          <w:rFonts w:ascii="Arial" w:hAnsi="Arial" w:cs="Arial"/>
          <w:b/>
          <w:sz w:val="20"/>
          <w:szCs w:val="20"/>
        </w:rPr>
      </w:pPr>
      <w:r w:rsidRPr="002D6C4B">
        <w:rPr>
          <w:rFonts w:ascii="Arial" w:hAnsi="Arial" w:cs="Arial"/>
          <w:b/>
          <w:sz w:val="20"/>
          <w:szCs w:val="20"/>
        </w:rPr>
        <w:t>DECRETA:</w:t>
      </w:r>
    </w:p>
    <w:p w:rsidR="00CF7E5B" w:rsidRPr="002D6C4B" w:rsidRDefault="00CF7E5B" w:rsidP="00CF7E5B">
      <w:pPr>
        <w:spacing w:line="240" w:lineRule="auto"/>
        <w:ind w:left="1985" w:hanging="1985"/>
        <w:jc w:val="both"/>
        <w:rPr>
          <w:rFonts w:ascii="Arial" w:hAnsi="Arial" w:cs="Arial"/>
          <w:sz w:val="20"/>
          <w:szCs w:val="20"/>
        </w:rPr>
      </w:pPr>
      <w:r w:rsidRPr="002D6C4B">
        <w:rPr>
          <w:rFonts w:ascii="Arial" w:hAnsi="Arial" w:cs="Arial"/>
          <w:b/>
          <w:sz w:val="20"/>
          <w:szCs w:val="20"/>
          <w:u w:val="single"/>
        </w:rPr>
        <w:t>ARTÍCULO 1º:</w:t>
      </w:r>
      <w:r w:rsidRPr="002D6C4B">
        <w:rPr>
          <w:rFonts w:ascii="Arial" w:hAnsi="Arial" w:cs="Arial"/>
          <w:sz w:val="20"/>
          <w:szCs w:val="20"/>
        </w:rPr>
        <w:t xml:space="preserve"> </w:t>
      </w:r>
      <w:r w:rsidRPr="002D6C4B">
        <w:rPr>
          <w:rFonts w:ascii="Arial" w:hAnsi="Arial" w:cs="Arial"/>
          <w:sz w:val="20"/>
          <w:szCs w:val="20"/>
        </w:rPr>
        <w:tab/>
        <w:t>PROMULGAR la Ordenanza Nº 50 -HCDPF-2019;</w:t>
      </w:r>
    </w:p>
    <w:p w:rsidR="00CF7E5B" w:rsidRPr="002D6C4B" w:rsidRDefault="00CF7E5B" w:rsidP="00CF7E5B">
      <w:pPr>
        <w:spacing w:line="240" w:lineRule="auto"/>
        <w:ind w:left="1985" w:hanging="1985"/>
        <w:jc w:val="both"/>
        <w:rPr>
          <w:rFonts w:ascii="Arial" w:hAnsi="Arial" w:cs="Arial"/>
          <w:sz w:val="20"/>
          <w:szCs w:val="20"/>
        </w:rPr>
      </w:pPr>
      <w:r w:rsidRPr="002D6C4B">
        <w:rPr>
          <w:rFonts w:ascii="Arial" w:hAnsi="Arial" w:cs="Arial"/>
          <w:b/>
          <w:sz w:val="20"/>
          <w:szCs w:val="20"/>
          <w:u w:val="single"/>
        </w:rPr>
        <w:t>ARTÍCULO 2º:</w:t>
      </w:r>
      <w:r w:rsidRPr="002D6C4B">
        <w:rPr>
          <w:rFonts w:ascii="Arial" w:hAnsi="Arial" w:cs="Arial"/>
          <w:sz w:val="20"/>
          <w:szCs w:val="20"/>
        </w:rPr>
        <w:t xml:space="preserve"> </w:t>
      </w:r>
      <w:r w:rsidRPr="002D6C4B">
        <w:rPr>
          <w:rFonts w:ascii="Arial" w:hAnsi="Arial" w:cs="Arial"/>
          <w:sz w:val="20"/>
          <w:szCs w:val="20"/>
        </w:rPr>
        <w:tab/>
        <w:t>El presente Decreto será refrendado por la Secretaria de Hacienda y Fortalecimiento Institucional</w:t>
      </w:r>
    </w:p>
    <w:p w:rsidR="00CF7E5B" w:rsidRPr="002D6C4B" w:rsidRDefault="00CF7E5B" w:rsidP="00CF7E5B">
      <w:pPr>
        <w:pBdr>
          <w:bottom w:val="single" w:sz="6" w:space="1" w:color="auto"/>
        </w:pBdr>
        <w:spacing w:line="240" w:lineRule="auto"/>
        <w:ind w:left="1985" w:hanging="1985"/>
        <w:jc w:val="both"/>
        <w:rPr>
          <w:rFonts w:ascii="Arial" w:hAnsi="Arial" w:cs="Arial"/>
          <w:sz w:val="20"/>
          <w:szCs w:val="20"/>
        </w:rPr>
      </w:pPr>
      <w:r w:rsidRPr="002D6C4B">
        <w:rPr>
          <w:rFonts w:ascii="Arial" w:hAnsi="Arial" w:cs="Arial"/>
          <w:b/>
          <w:sz w:val="20"/>
          <w:szCs w:val="20"/>
          <w:u w:val="single"/>
        </w:rPr>
        <w:t>ARTÍCULO 3º:</w:t>
      </w:r>
      <w:r w:rsidRPr="002D6C4B">
        <w:rPr>
          <w:rFonts w:ascii="Arial" w:hAnsi="Arial" w:cs="Arial"/>
          <w:sz w:val="20"/>
          <w:szCs w:val="20"/>
        </w:rPr>
        <w:t xml:space="preserve">      Comunicar, registrar, publicar y archivar.-</w:t>
      </w:r>
    </w:p>
    <w:p w:rsidR="00C43613" w:rsidRDefault="00C43613"/>
    <w:sectPr w:rsidR="00C43613" w:rsidSect="00C4361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F7E5B"/>
    <w:rsid w:val="00B70B09"/>
    <w:rsid w:val="00C43613"/>
    <w:rsid w:val="00CF7E5B"/>
    <w:rsid w:val="00FC74E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E5B"/>
    <w:pPr>
      <w:spacing w:after="160" w:line="259" w:lineRule="auto"/>
    </w:pPr>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1318</Words>
  <Characters>7250</Characters>
  <Application>Microsoft Office Word</Application>
  <DocSecurity>0</DocSecurity>
  <Lines>60</Lines>
  <Paragraphs>17</Paragraphs>
  <ScaleCrop>false</ScaleCrop>
  <Company/>
  <LinksUpToDate>false</LinksUpToDate>
  <CharactersWithSpaces>8551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Analia</dc:creator>
  <cp:lastModifiedBy>Analia</cp:lastModifiedBy>
  <cp:revision>1</cp:revision>
  <dcterms:created xsi:type="dcterms:W3CDTF">2020-09-26T22:11:00Z</dcterms:created>
  <dcterms:modified xsi:type="dcterms:W3CDTF">2020-09-26T22:12:00Z</dcterms:modified>
</cp:coreProperties>
</file>